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采购管理系统建设项目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项目编号：SZZZ2026-QC0007</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二〇二六年一月</w:t>
      </w:r>
    </w:p>
    <w:p w14:paraId="3E569EB4"/>
    <w:p w14:paraId="092996B8">
      <w:pPr>
        <w:jc w:val="center"/>
        <w:rPr>
          <w:rFonts w:asciiTheme="minorEastAsia" w:hAnsiTheme="minorEastAsia" w:eastAsiaTheme="minorEastAsia"/>
          <w:b/>
          <w:bCs/>
          <w:sz w:val="44"/>
          <w:szCs w:val="44"/>
        </w:rPr>
      </w:pPr>
    </w:p>
    <w:p w14:paraId="69CAF6EC">
      <w:pP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78</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keepNext w:val="0"/>
        <w:keepLines w:val="0"/>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采购管理系统建设项目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SZZZ2026-QC0007</w:t>
      </w:r>
    </w:p>
    <w:p w14:paraId="17E6EF6A">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2、项目名称：采购管理系统建设项目</w:t>
      </w:r>
    </w:p>
    <w:p w14:paraId="58454035">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A9F9EE1">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4、预算金额：人民币580,000.00元</w:t>
      </w:r>
    </w:p>
    <w:p w14:paraId="36134925">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5、最高限价：人民币580,000.00元</w:t>
      </w:r>
    </w:p>
    <w:p w14:paraId="39FF4180">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widowControl w:val="0"/>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widowControl w:val="0"/>
              <w:spacing w:line="360" w:lineRule="auto"/>
              <w:jc w:val="center"/>
              <w:rPr>
                <w:sz w:val="21"/>
              </w:rPr>
            </w:pPr>
            <w:r>
              <w:rPr>
                <w:sz w:val="21"/>
              </w:rPr>
              <w:t>标的名称</w:t>
            </w:r>
          </w:p>
        </w:tc>
        <w:tc>
          <w:tcPr>
            <w:tcW w:w="921" w:type="dxa"/>
            <w:shd w:val="clear" w:color="auto" w:fill="ABCDEF"/>
            <w:vAlign w:val="center"/>
          </w:tcPr>
          <w:p w14:paraId="1DB556DE">
            <w:pPr>
              <w:pStyle w:val="45"/>
              <w:widowControl w:val="0"/>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widowControl w:val="0"/>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widowControl w:val="0"/>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widowControl w:val="0"/>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widowControl w:val="0"/>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采购管理系统建设项目</w:t>
            </w:r>
          </w:p>
        </w:tc>
        <w:tc>
          <w:tcPr>
            <w:tcW w:w="921" w:type="dxa"/>
            <w:shd w:val="clear" w:color="auto" w:fill="auto"/>
            <w:vAlign w:val="center"/>
          </w:tcPr>
          <w:p w14:paraId="5869E30D">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widowControl w:val="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widowControl w:val="0"/>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3"/>
        <w:widowControl w:val="0"/>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widowControl w:val="0"/>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widowControl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760340FB">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widowControl w:val="0"/>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widowControl w:val="0"/>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widowControl w:val="0"/>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widowControl w:val="0"/>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widowControl w:val="0"/>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widowControl w:val="0"/>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名称：深圳市第三职业技术学校</w:t>
      </w:r>
    </w:p>
    <w:p w14:paraId="34025C26">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地址：深圳市坪山区创景南路13号</w:t>
      </w:r>
    </w:p>
    <w:p w14:paraId="4C32D842">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联系方式：陈老师，0755</w:t>
      </w:r>
      <w:r>
        <w:rPr>
          <w:rFonts w:ascii="宋体" w:hAnsi="宋体" w:eastAsia="宋体"/>
          <w:snapToGrid w:val="0"/>
          <w:color w:val="auto"/>
          <w:sz w:val="21"/>
          <w:szCs w:val="21"/>
        </w:rPr>
        <w:t>-</w:t>
      </w:r>
      <w:r>
        <w:rPr>
          <w:rFonts w:hint="eastAsia" w:ascii="宋体" w:hAnsi="宋体" w:eastAsia="宋体"/>
          <w:snapToGrid w:val="0"/>
          <w:color w:val="auto"/>
          <w:sz w:val="21"/>
          <w:szCs w:val="21"/>
        </w:rPr>
        <w:t>23678668</w:t>
      </w:r>
    </w:p>
    <w:p w14:paraId="2C9BB22F">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联系方式：李先生，0755-83026699</w:t>
      </w:r>
    </w:p>
    <w:p w14:paraId="355FE78C">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项目联系人：李先生</w:t>
      </w:r>
    </w:p>
    <w:p w14:paraId="3FE4A736">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2026</w:t>
      </w:r>
      <w:r>
        <w:rPr>
          <w:rFonts w:ascii="宋体" w:hAnsi="宋体"/>
          <w:snapToGrid w:val="0"/>
          <w:kern w:val="0"/>
          <w:sz w:val="24"/>
        </w:rPr>
        <w:t>年</w:t>
      </w:r>
      <w:bookmarkStart w:id="128" w:name="_GoBack"/>
      <w:bookmarkEnd w:id="128"/>
      <w:r>
        <w:rPr>
          <w:rFonts w:hint="eastAsia" w:ascii="宋体" w:hAnsi="宋体"/>
          <w:snapToGrid w:val="0"/>
          <w:kern w:val="0"/>
          <w:sz w:val="24"/>
          <w:lang w:val="en-US" w:eastAsia="zh-CN"/>
        </w:rPr>
        <w:t>01</w:t>
      </w:r>
      <w:r>
        <w:rPr>
          <w:rFonts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keepNext w:val="0"/>
        <w:keepLines w:val="0"/>
      </w:pPr>
      <w:r>
        <w:rPr>
          <w:rFonts w:hint="eastAsia"/>
        </w:rPr>
        <w:t>第二章  项目需求</w:t>
      </w:r>
      <w:bookmarkEnd w:id="3"/>
    </w:p>
    <w:p w14:paraId="20197D0B">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adjustRightInd w:val="0"/>
              <w:snapToGrid w:val="0"/>
              <w:spacing w:line="360" w:lineRule="auto"/>
              <w:jc w:val="center"/>
              <w:textAlignment w:val="center"/>
              <w:rPr>
                <w:rFonts w:ascii="宋体" w:hAnsi="宋体" w:cs="宋体"/>
                <w:szCs w:val="21"/>
              </w:rPr>
            </w:pPr>
            <w:r>
              <w:rPr>
                <w:rFonts w:hint="eastAsia" w:ascii="宋体" w:hAnsi="宋体" w:cs="宋体"/>
                <w:snapToGrid w:val="0"/>
                <w:szCs w:val="21"/>
              </w:rPr>
              <w:t>采购管理系统建设项目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adjustRightInd w:val="0"/>
              <w:snapToGrid w:val="0"/>
              <w:spacing w:line="360" w:lineRule="auto"/>
              <w:jc w:val="center"/>
              <w:textAlignment w:val="center"/>
              <w:rPr>
                <w:rFonts w:ascii="宋体" w:hAnsi="宋体" w:cs="宋体"/>
                <w:szCs w:val="21"/>
              </w:rPr>
            </w:pPr>
            <w:r>
              <w:rPr>
                <w:rFonts w:hint="eastAsia" w:ascii="宋体" w:hAnsi="宋体" w:cs="宋体"/>
                <w:szCs w:val="21"/>
              </w:rPr>
              <w:t>580,000.00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（二）项目概述</w:t>
      </w:r>
    </w:p>
    <w:p w14:paraId="76ECADB1">
      <w:pPr>
        <w:pStyle w:val="506"/>
        <w:widowControl w:val="0"/>
        <w:wordWrap/>
        <w:spacing w:afterLines="0" w:line="360" w:lineRule="auto"/>
        <w:ind w:firstLine="420"/>
        <w:rPr>
          <w:rFonts w:cs="Times New Roman"/>
          <w:snapToGrid/>
          <w:spacing w:val="0"/>
          <w:sz w:val="21"/>
          <w:szCs w:val="21"/>
        </w:rPr>
      </w:pPr>
      <w:r>
        <w:rPr>
          <w:rFonts w:hint="eastAsia" w:cs="Times New Roman"/>
          <w:snapToGrid/>
          <w:spacing w:val="0"/>
          <w:sz w:val="21"/>
          <w:szCs w:val="21"/>
        </w:rPr>
        <w:t>随着学校各项采购业务的不断拓展与精细化管理要求的持续提升，当前学校采购流程仅依附于财务系统，关键性节点、项目进度控制、采购档案整理、数控整合分析等缺乏闭环规范，无法满足采购全流程的规范化、高效化、透明化的要求。为更高效地统筹把控采购全流程进度、精准管控采购预算执行，为学校优化资源配置与成本控制的决策部署提供数据与信息支撑，急需构建集流程自动化、数据一体化、管理智能化于一体的采购管理系统。</w:t>
      </w:r>
    </w:p>
    <w:p w14:paraId="682877D6">
      <w:pPr>
        <w:pStyle w:val="506"/>
        <w:widowControl w:val="0"/>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1E4686E7">
      <w:pPr>
        <w:snapToGrid w:val="0"/>
        <w:spacing w:line="360" w:lineRule="auto"/>
        <w:jc w:val="left"/>
        <w:outlineLvl w:val="0"/>
        <w:rPr>
          <w:rFonts w:ascii="宋体" w:hAnsi="宋体" w:cs="宋体"/>
          <w:b/>
          <w:bCs/>
          <w:kern w:val="0"/>
          <w:szCs w:val="21"/>
        </w:rPr>
      </w:pPr>
      <w:r>
        <w:rPr>
          <w:rFonts w:hint="eastAsia" w:ascii="宋体" w:hAnsi="宋体" w:cs="宋体"/>
          <w:b/>
          <w:bCs/>
          <w:kern w:val="0"/>
          <w:szCs w:val="21"/>
        </w:rPr>
        <w:t>（一）项目服务要求及内容：</w:t>
      </w:r>
    </w:p>
    <w:tbl>
      <w:tblPr>
        <w:tblStyle w:val="50"/>
        <w:tblW w:w="974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9"/>
        <w:gridCol w:w="1548"/>
        <w:gridCol w:w="7485"/>
      </w:tblGrid>
      <w:tr w14:paraId="35839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9" w:hRule="atLeast"/>
        </w:trPr>
        <w:tc>
          <w:tcPr>
            <w:tcW w:w="709" w:type="dxa"/>
            <w:tcBorders>
              <w:tl2br w:val="nil"/>
              <w:tr2bl w:val="nil"/>
            </w:tcBorders>
            <w:shd w:val="clear" w:color="auto" w:fill="A5A5A5"/>
            <w:vAlign w:val="center"/>
          </w:tcPr>
          <w:p w14:paraId="1B8F4C4C">
            <w:pPr>
              <w:spacing w:line="36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1548" w:type="dxa"/>
            <w:tcBorders>
              <w:tl2br w:val="nil"/>
              <w:tr2bl w:val="nil"/>
            </w:tcBorders>
            <w:shd w:val="clear" w:color="auto" w:fill="A5A5A5"/>
            <w:vAlign w:val="center"/>
          </w:tcPr>
          <w:p w14:paraId="2B84F08E">
            <w:pPr>
              <w:spacing w:line="36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工作事项</w:t>
            </w:r>
          </w:p>
        </w:tc>
        <w:tc>
          <w:tcPr>
            <w:tcW w:w="7485" w:type="dxa"/>
            <w:tcBorders>
              <w:tl2br w:val="nil"/>
              <w:tr2bl w:val="nil"/>
            </w:tcBorders>
            <w:shd w:val="clear" w:color="auto" w:fill="A5A5A5"/>
            <w:vAlign w:val="center"/>
          </w:tcPr>
          <w:p w14:paraId="45BCF15B">
            <w:pPr>
              <w:spacing w:line="360" w:lineRule="auto"/>
              <w:jc w:val="center"/>
              <w:textAlignment w:val="center"/>
              <w:rPr>
                <w:rFonts w:ascii="宋体" w:hAnsi="宋体" w:cs="宋体"/>
                <w:b/>
                <w:color w:val="000000"/>
                <w:szCs w:val="21"/>
              </w:rPr>
            </w:pPr>
            <w:r>
              <w:rPr>
                <w:rFonts w:hint="eastAsia" w:ascii="宋体" w:hAnsi="宋体" w:cs="宋体"/>
                <w:b/>
                <w:color w:val="000000"/>
                <w:kern w:val="0"/>
                <w:szCs w:val="21"/>
                <w:lang w:bidi="ar"/>
              </w:rPr>
              <w:t>工作内容</w:t>
            </w:r>
          </w:p>
        </w:tc>
      </w:tr>
      <w:tr w14:paraId="57A92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3A20393B">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一、全流程管理</w:t>
            </w:r>
          </w:p>
        </w:tc>
      </w:tr>
      <w:tr w14:paraId="304CD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0FA4285D">
            <w:pPr>
              <w:spacing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1548" w:type="dxa"/>
            <w:vMerge w:val="restart"/>
            <w:tcBorders>
              <w:tl2br w:val="nil"/>
              <w:tr2bl w:val="nil"/>
            </w:tcBorders>
            <w:vAlign w:val="center"/>
          </w:tcPr>
          <w:p w14:paraId="45AFE88C">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工作台</w:t>
            </w:r>
          </w:p>
        </w:tc>
        <w:tc>
          <w:tcPr>
            <w:tcW w:w="7485" w:type="dxa"/>
            <w:tcBorders>
              <w:tl2br w:val="nil"/>
              <w:tr2bl w:val="nil"/>
            </w:tcBorders>
            <w:vAlign w:val="center"/>
          </w:tcPr>
          <w:p w14:paraId="454682E7">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领导工作台：聚焦审批办理与管理决策核心需求，整合采购审批待办事项、本年度采购项目全景概况、采购费用使用情况及各部门采购项目执行统计、各部门耗材采购情况统计等核心功能模块，并配套采购档案查询服务。通过多维数据的可视化呈现，助力领导全面、直观掌握全校采购业务全貌，为高效开展工作、科学决策提供支撑。</w:t>
            </w:r>
          </w:p>
        </w:tc>
      </w:tr>
      <w:tr w14:paraId="5F215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39E53D8">
            <w:pPr>
              <w:spacing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1548" w:type="dxa"/>
            <w:vMerge w:val="continue"/>
            <w:tcBorders>
              <w:tl2br w:val="nil"/>
              <w:tr2bl w:val="nil"/>
            </w:tcBorders>
            <w:vAlign w:val="center"/>
          </w:tcPr>
          <w:p w14:paraId="1D7C6565">
            <w:pPr>
              <w:spacing w:line="360" w:lineRule="auto"/>
              <w:jc w:val="center"/>
              <w:rPr>
                <w:rFonts w:ascii="宋体" w:hAnsi="宋体" w:cs="宋体"/>
                <w:b/>
                <w:color w:val="000000"/>
                <w:szCs w:val="21"/>
              </w:rPr>
            </w:pPr>
          </w:p>
        </w:tc>
        <w:tc>
          <w:tcPr>
            <w:tcW w:w="7485" w:type="dxa"/>
            <w:tcBorders>
              <w:tl2br w:val="nil"/>
              <w:tr2bl w:val="nil"/>
            </w:tcBorders>
            <w:vAlign w:val="center"/>
          </w:tcPr>
          <w:p w14:paraId="5F52D679">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普通用户工作台：聚焦个人业务办理全流程，核心设置四大功能模块：一是本人名下待办的采购审批事项，二是应用中心内本人拥有操作权限的申请事项，三是本人经办的各类在办工作事项，四是本人经办采购业务的档案查询功能。平台通过可视化方式清晰呈现事项办理进度，助力经办人实时跟踪在办事项的当前状态、明确下一步办理步骤，保障工作流程高效顺畅推进。</w:t>
            </w:r>
          </w:p>
        </w:tc>
      </w:tr>
      <w:tr w14:paraId="5FC48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7ED8A2E">
            <w:pPr>
              <w:spacing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1548" w:type="dxa"/>
            <w:tcBorders>
              <w:tl2br w:val="nil"/>
              <w:tr2bl w:val="nil"/>
            </w:tcBorders>
            <w:vAlign w:val="center"/>
          </w:tcPr>
          <w:p w14:paraId="70ECA5CF">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采购申请</w:t>
            </w:r>
          </w:p>
        </w:tc>
        <w:tc>
          <w:tcPr>
            <w:tcW w:w="7485" w:type="dxa"/>
            <w:tcBorders>
              <w:tl2br w:val="nil"/>
              <w:tr2bl w:val="nil"/>
            </w:tcBorders>
            <w:vAlign w:val="center"/>
          </w:tcPr>
          <w:p w14:paraId="3207C87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支持工程类型、货物类型、服务类型采购申请，根据学校需求分别设置不同的采购申请流程；支持采购货物明细与资产管理系统中的资产与耗材建立统一的数据标准，以便后期数据同步入库；支持与财务系统预算指标获取与采购金额管控对接；支持会议议定事项会议纪要上传；支持采购申请记录查询与导出功能。</w:t>
            </w:r>
          </w:p>
        </w:tc>
      </w:tr>
      <w:tr w14:paraId="3EB91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A797CA1">
            <w:pPr>
              <w:spacing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1548" w:type="dxa"/>
            <w:tcBorders>
              <w:tl2br w:val="nil"/>
              <w:tr2bl w:val="nil"/>
            </w:tcBorders>
            <w:vAlign w:val="center"/>
          </w:tcPr>
          <w:p w14:paraId="67A2D15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招标评审</w:t>
            </w:r>
          </w:p>
        </w:tc>
        <w:tc>
          <w:tcPr>
            <w:tcW w:w="7485" w:type="dxa"/>
            <w:tcBorders>
              <w:tl2br w:val="nil"/>
              <w:tr2bl w:val="nil"/>
            </w:tcBorders>
            <w:vAlign w:val="center"/>
          </w:tcPr>
          <w:p w14:paraId="648DD50F">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含第三方招投标评审与询价采购评审，支持按照不同的采购方式提交不同的招标评审申请，招标评审流程设计，招标需求公示、中标结果录入、中标结果公示等招标评审核心环节管理，支持招标评审记录查询与导出功能。</w:t>
            </w:r>
          </w:p>
        </w:tc>
      </w:tr>
      <w:tr w14:paraId="626B9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5A99D25">
            <w:pPr>
              <w:spacing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1548" w:type="dxa"/>
            <w:tcBorders>
              <w:tl2br w:val="nil"/>
              <w:tr2bl w:val="nil"/>
            </w:tcBorders>
            <w:vAlign w:val="center"/>
          </w:tcPr>
          <w:p w14:paraId="4796F85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合同管理</w:t>
            </w:r>
          </w:p>
        </w:tc>
        <w:tc>
          <w:tcPr>
            <w:tcW w:w="7485" w:type="dxa"/>
            <w:tcBorders>
              <w:tl2br w:val="nil"/>
              <w:tr2bl w:val="nil"/>
            </w:tcBorders>
            <w:vAlign w:val="center"/>
          </w:tcPr>
          <w:p w14:paraId="244A5A9C">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涵盖合同管理全生命周期管控能力，具体包括合同（含续签）申请发起、定制化审批流程设计、合同用章备案、合同支付提醒、多维度查询统计，以及合同变更申请提交、变更专项审批流程开发、变更记录追溯查询等全流程功能开发，形成从合同发起、审批、备案到变更管控、数据追溯的闭环管理体系。</w:t>
            </w:r>
          </w:p>
        </w:tc>
      </w:tr>
      <w:tr w14:paraId="4E0BF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3D87BCE3">
            <w:pPr>
              <w:spacing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1548" w:type="dxa"/>
            <w:tcBorders>
              <w:tl2br w:val="nil"/>
              <w:tr2bl w:val="nil"/>
            </w:tcBorders>
            <w:vAlign w:val="center"/>
          </w:tcPr>
          <w:p w14:paraId="2F62B5B9">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验收管理</w:t>
            </w:r>
          </w:p>
        </w:tc>
        <w:tc>
          <w:tcPr>
            <w:tcW w:w="7485" w:type="dxa"/>
            <w:tcBorders>
              <w:tl2br w:val="nil"/>
              <w:tr2bl w:val="nil"/>
            </w:tcBorders>
            <w:vAlign w:val="center"/>
          </w:tcPr>
          <w:p w14:paraId="20DA34EE">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包括验收申请发起、验收资料规范化上传、个性化验收流程设计、多维度验收评价体系搭建、验收项目货物快速入库及全场景验收记录精准查询等核心业务环节，需深度实现与资产管理系统的固定资产与耗材数据同源对接。</w:t>
            </w:r>
          </w:p>
        </w:tc>
      </w:tr>
      <w:tr w14:paraId="58A2B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76EFA2E8">
            <w:pPr>
              <w:spacing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1548" w:type="dxa"/>
            <w:vMerge w:val="restart"/>
            <w:tcBorders>
              <w:tl2br w:val="nil"/>
              <w:tr2bl w:val="nil"/>
            </w:tcBorders>
            <w:vAlign w:val="center"/>
          </w:tcPr>
          <w:p w14:paraId="444E94A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支付管理</w:t>
            </w:r>
          </w:p>
        </w:tc>
        <w:tc>
          <w:tcPr>
            <w:tcW w:w="7485" w:type="dxa"/>
            <w:tcBorders>
              <w:tl2br w:val="nil"/>
              <w:tr2bl w:val="nil"/>
            </w:tcBorders>
            <w:vAlign w:val="center"/>
          </w:tcPr>
          <w:p w14:paraId="259D395B">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合同支付：构建采购系统与财务系统跨平台协同架构，通过研发双向数据交互接口，实现财务系统发起支付申请时采购系统实时同步核心数据、财务审核完成后支付信息自动回传，同时支持采购系统主动拉取财务全量支付记录，并开发多维度数据一致性校验算法与自动比对机制，通过跨系统数据校验逻辑确保采购系统内合同支付数据的完整性、准确性与实时一致性，全程实现数据无缝流转与闭环管控。</w:t>
            </w:r>
          </w:p>
        </w:tc>
      </w:tr>
      <w:tr w14:paraId="0AE20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DE6A13B">
            <w:pPr>
              <w:spacing w:line="360" w:lineRule="auto"/>
              <w:jc w:val="center"/>
              <w:textAlignment w:val="center"/>
              <w:rPr>
                <w:rFonts w:ascii="宋体" w:hAnsi="宋体" w:cs="宋体"/>
                <w:color w:val="000000"/>
                <w:szCs w:val="21"/>
              </w:rPr>
            </w:pPr>
            <w:r>
              <w:rPr>
                <w:rFonts w:hint="eastAsia" w:ascii="宋体" w:hAnsi="宋体" w:cs="宋体"/>
                <w:color w:val="000000"/>
                <w:szCs w:val="21"/>
              </w:rPr>
              <w:t>8</w:t>
            </w:r>
          </w:p>
        </w:tc>
        <w:tc>
          <w:tcPr>
            <w:tcW w:w="1548" w:type="dxa"/>
            <w:vMerge w:val="continue"/>
            <w:tcBorders>
              <w:tl2br w:val="nil"/>
              <w:tr2bl w:val="nil"/>
            </w:tcBorders>
            <w:vAlign w:val="center"/>
          </w:tcPr>
          <w:p w14:paraId="228A891F">
            <w:pPr>
              <w:spacing w:line="360" w:lineRule="auto"/>
              <w:jc w:val="center"/>
              <w:rPr>
                <w:rFonts w:ascii="宋体" w:hAnsi="宋体" w:cs="宋体"/>
                <w:b/>
                <w:color w:val="000000"/>
                <w:szCs w:val="21"/>
              </w:rPr>
            </w:pPr>
          </w:p>
        </w:tc>
        <w:tc>
          <w:tcPr>
            <w:tcW w:w="7485" w:type="dxa"/>
            <w:tcBorders>
              <w:tl2br w:val="nil"/>
              <w:tr2bl w:val="nil"/>
            </w:tcBorders>
            <w:vAlign w:val="center"/>
          </w:tcPr>
          <w:p w14:paraId="2264656D">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非合同报销：构建采购系统与财务系统跨系统协同交互体系，通过研发双向数据传输接口，实现财务系统发起非合同报销申请时采购系统实时同步核心信息、财务审核完成后报销数据自动回传，同时支持采购系统主动拉取财务全量非合同报销记录，并开发多维度数据一致性校验算法与智能比对机制，通过跨系统数据校验逻辑与异常校验规则设计，确保采购系统内非合同报销数据的完整性、准确性与实时一致性，全程实现数据无缝流转与闭环管控。</w:t>
            </w:r>
          </w:p>
        </w:tc>
      </w:tr>
      <w:tr w14:paraId="709F5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546633B0">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二、采购档案管理</w:t>
            </w:r>
          </w:p>
        </w:tc>
      </w:tr>
      <w:tr w14:paraId="278F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0D231F3A">
            <w:pPr>
              <w:spacing w:line="360" w:lineRule="auto"/>
              <w:jc w:val="center"/>
              <w:textAlignment w:val="center"/>
              <w:rPr>
                <w:rFonts w:ascii="宋体" w:hAnsi="宋体" w:cs="宋体"/>
                <w:color w:val="000000"/>
                <w:szCs w:val="21"/>
              </w:rPr>
            </w:pPr>
            <w:r>
              <w:rPr>
                <w:rFonts w:hint="eastAsia" w:ascii="宋体" w:hAnsi="宋体" w:cs="宋体"/>
                <w:color w:val="000000"/>
                <w:szCs w:val="21"/>
              </w:rPr>
              <w:t>9</w:t>
            </w:r>
          </w:p>
        </w:tc>
        <w:tc>
          <w:tcPr>
            <w:tcW w:w="1548" w:type="dxa"/>
            <w:tcBorders>
              <w:tl2br w:val="nil"/>
              <w:tr2bl w:val="nil"/>
            </w:tcBorders>
            <w:vAlign w:val="center"/>
          </w:tcPr>
          <w:p w14:paraId="531D88AC">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采购档案分类</w:t>
            </w:r>
          </w:p>
        </w:tc>
        <w:tc>
          <w:tcPr>
            <w:tcW w:w="7485" w:type="dxa"/>
            <w:tcBorders>
              <w:tl2br w:val="nil"/>
              <w:tr2bl w:val="nil"/>
            </w:tcBorders>
            <w:vAlign w:val="center"/>
          </w:tcPr>
          <w:p w14:paraId="2E2D0217">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提供采购管理员对采购过程资料进行规范化分类维护，支持按采购立项、招投标、合同协议、验收资料、财务支付等维度划分分类，支持按层级细化分类，实现分类的创建、编辑、启用/停用操作。</w:t>
            </w:r>
          </w:p>
        </w:tc>
      </w:tr>
      <w:tr w14:paraId="04159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50ABCCA">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10</w:t>
            </w:r>
          </w:p>
        </w:tc>
        <w:tc>
          <w:tcPr>
            <w:tcW w:w="1548" w:type="dxa"/>
            <w:tcBorders>
              <w:tl2br w:val="nil"/>
              <w:tr2bl w:val="nil"/>
            </w:tcBorders>
            <w:vAlign w:val="center"/>
          </w:tcPr>
          <w:p w14:paraId="3ACC6A42">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采购档案归集</w:t>
            </w:r>
          </w:p>
        </w:tc>
        <w:tc>
          <w:tcPr>
            <w:tcW w:w="7485" w:type="dxa"/>
            <w:tcBorders>
              <w:tl2br w:val="nil"/>
              <w:tr2bl w:val="nil"/>
            </w:tcBorders>
            <w:vAlign w:val="center"/>
          </w:tcPr>
          <w:p w14:paraId="45ED6FF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支持采购申请表、合同审批表、验收申请表、付款申请表等全流程呈批文件按业务类型自动关联至对应档案分类，同时兼容采购过程中各类文件按预设采购分类手动上传，通过构建多维度文件关联规则、预设分类体系及自动化匹配逻辑，实现采购档案的规范化归集。</w:t>
            </w:r>
          </w:p>
        </w:tc>
      </w:tr>
      <w:tr w14:paraId="7E004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838C690">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11</w:t>
            </w:r>
          </w:p>
        </w:tc>
        <w:tc>
          <w:tcPr>
            <w:tcW w:w="1548" w:type="dxa"/>
            <w:tcBorders>
              <w:tl2br w:val="nil"/>
              <w:tr2bl w:val="nil"/>
            </w:tcBorders>
            <w:vAlign w:val="center"/>
          </w:tcPr>
          <w:p w14:paraId="26B9BFF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采购档案查询</w:t>
            </w:r>
          </w:p>
        </w:tc>
        <w:tc>
          <w:tcPr>
            <w:tcW w:w="7485" w:type="dxa"/>
            <w:tcBorders>
              <w:tl2br w:val="nil"/>
              <w:tr2bl w:val="nil"/>
            </w:tcBorders>
            <w:vAlign w:val="center"/>
          </w:tcPr>
          <w:p w14:paraId="4F268B30">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支持按项目名称、采购供应商、采购方式、采购类型等维度查询符合条件的采购项目，同时系统自动记录采购全流程相关档案资料，对采购资料进行规范化分类管理，形成完整的采购项目过程资料档案库。</w:t>
            </w:r>
            <w:r>
              <w:rPr>
                <w:rStyle w:val="166"/>
                <w:rFonts w:hint="default" w:ascii="宋体" w:hAnsi="宋体" w:eastAsia="宋体" w:cs="宋体"/>
                <w:sz w:val="21"/>
                <w:szCs w:val="21"/>
                <w:lang w:bidi="ar"/>
              </w:rPr>
              <w:t>​</w:t>
            </w:r>
          </w:p>
        </w:tc>
      </w:tr>
      <w:tr w14:paraId="07161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7E00FDFD">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三、跨系统融合对接</w:t>
            </w:r>
          </w:p>
        </w:tc>
      </w:tr>
      <w:tr w14:paraId="449BA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0C8CDB56">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（1）财务系统对接</w:t>
            </w:r>
          </w:p>
        </w:tc>
      </w:tr>
      <w:tr w14:paraId="4F1FC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464726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12</w:t>
            </w:r>
          </w:p>
        </w:tc>
        <w:tc>
          <w:tcPr>
            <w:tcW w:w="1548" w:type="dxa"/>
            <w:vMerge w:val="restart"/>
            <w:tcBorders>
              <w:tl2br w:val="nil"/>
              <w:tr2bl w:val="nil"/>
            </w:tcBorders>
            <w:vAlign w:val="center"/>
          </w:tcPr>
          <w:p w14:paraId="1EFBCCAA">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采购申请对接</w:t>
            </w:r>
          </w:p>
        </w:tc>
        <w:tc>
          <w:tcPr>
            <w:tcW w:w="7485" w:type="dxa"/>
            <w:tcBorders>
              <w:tl2br w:val="nil"/>
              <w:tr2bl w:val="nil"/>
            </w:tcBorders>
            <w:vAlign w:val="center"/>
          </w:tcPr>
          <w:p w14:paraId="4DB7F524">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获取财务预算指标接口：财务系统提供预算指标获取接口：采购系统需按照层级结构展示预算指标、预算部门、资金来源、功能科目、经济科目、预算总额、可用金额等信息，支持按照年度、预算指标、预算项目、预算部门、经济科目、执行方式查询预算指标信息。</w:t>
            </w:r>
          </w:p>
        </w:tc>
      </w:tr>
      <w:tr w14:paraId="7680E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0B40AE2">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13</w:t>
            </w:r>
          </w:p>
        </w:tc>
        <w:tc>
          <w:tcPr>
            <w:tcW w:w="1548" w:type="dxa"/>
            <w:vMerge w:val="continue"/>
            <w:tcBorders>
              <w:tl2br w:val="nil"/>
              <w:tr2bl w:val="nil"/>
            </w:tcBorders>
            <w:vAlign w:val="center"/>
          </w:tcPr>
          <w:p w14:paraId="2A7F4128">
            <w:pPr>
              <w:spacing w:line="360" w:lineRule="auto"/>
              <w:jc w:val="center"/>
              <w:rPr>
                <w:rFonts w:ascii="宋体" w:hAnsi="宋体" w:cs="宋体"/>
                <w:b/>
                <w:color w:val="000000"/>
                <w:szCs w:val="21"/>
              </w:rPr>
            </w:pPr>
          </w:p>
        </w:tc>
        <w:tc>
          <w:tcPr>
            <w:tcW w:w="7485" w:type="dxa"/>
            <w:tcBorders>
              <w:tl2br w:val="nil"/>
              <w:tr2bl w:val="nil"/>
            </w:tcBorders>
            <w:vAlign w:val="center"/>
          </w:tcPr>
          <w:p w14:paraId="4164FE4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财务系统采购信息接入接口：财务系统需提供采购信息接入接口，采购申请人在采购系统提交采购申请时需调用财务系统采购信息接入接口，一方面财务系统需要判定采购金额是否超出预算剩余金额，另一方面财务系统需要添加或更新采购申请信息占用采购预算金额。</w:t>
            </w:r>
          </w:p>
        </w:tc>
      </w:tr>
      <w:tr w14:paraId="5680F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8F77E5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14</w:t>
            </w:r>
          </w:p>
        </w:tc>
        <w:tc>
          <w:tcPr>
            <w:tcW w:w="1548" w:type="dxa"/>
            <w:vMerge w:val="continue"/>
            <w:tcBorders>
              <w:tl2br w:val="nil"/>
              <w:tr2bl w:val="nil"/>
            </w:tcBorders>
            <w:vAlign w:val="center"/>
          </w:tcPr>
          <w:p w14:paraId="0E7959E8">
            <w:pPr>
              <w:spacing w:line="360" w:lineRule="auto"/>
              <w:jc w:val="center"/>
              <w:rPr>
                <w:rFonts w:ascii="宋体" w:hAnsi="宋体" w:cs="宋体"/>
                <w:b/>
                <w:color w:val="000000"/>
                <w:szCs w:val="21"/>
              </w:rPr>
            </w:pPr>
          </w:p>
        </w:tc>
        <w:tc>
          <w:tcPr>
            <w:tcW w:w="7485" w:type="dxa"/>
            <w:tcBorders>
              <w:tl2br w:val="nil"/>
              <w:tr2bl w:val="nil"/>
            </w:tcBorders>
            <w:vAlign w:val="center"/>
          </w:tcPr>
          <w:p w14:paraId="65FB081C">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3）财务系统提供采购申请结果同步接口：在采购系统采购申请审批通过后，需要调用财务系统采购申请结果同步接口，将办理结果及办理过程意见同步给财务系统。</w:t>
            </w:r>
          </w:p>
        </w:tc>
      </w:tr>
      <w:tr w14:paraId="419ED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71134D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15</w:t>
            </w:r>
          </w:p>
        </w:tc>
        <w:tc>
          <w:tcPr>
            <w:tcW w:w="1548" w:type="dxa"/>
            <w:vMerge w:val="continue"/>
            <w:tcBorders>
              <w:tl2br w:val="nil"/>
              <w:tr2bl w:val="nil"/>
            </w:tcBorders>
            <w:vAlign w:val="center"/>
          </w:tcPr>
          <w:p w14:paraId="1B5FA739">
            <w:pPr>
              <w:spacing w:line="360" w:lineRule="auto"/>
              <w:jc w:val="center"/>
              <w:rPr>
                <w:rFonts w:ascii="宋体" w:hAnsi="宋体" w:cs="宋体"/>
                <w:b/>
                <w:color w:val="000000"/>
                <w:szCs w:val="21"/>
              </w:rPr>
            </w:pPr>
          </w:p>
        </w:tc>
        <w:tc>
          <w:tcPr>
            <w:tcW w:w="7485" w:type="dxa"/>
            <w:tcBorders>
              <w:tl2br w:val="nil"/>
              <w:tr2bl w:val="nil"/>
            </w:tcBorders>
            <w:vAlign w:val="center"/>
          </w:tcPr>
          <w:p w14:paraId="0325CA1C">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4）财务系统提供预算指标金额调整接口：在采购系统采购申请中，采购办执行采购的过程中涉及到对采购金额进行调整，原则上来说采购金额只能调低不能调高，需要调用财务系统预算指标金额调整接口，调整预算指标金额。</w:t>
            </w:r>
          </w:p>
        </w:tc>
      </w:tr>
      <w:tr w14:paraId="268D2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F4E8EB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16</w:t>
            </w:r>
          </w:p>
        </w:tc>
        <w:tc>
          <w:tcPr>
            <w:tcW w:w="1548" w:type="dxa"/>
            <w:vMerge w:val="continue"/>
            <w:tcBorders>
              <w:tl2br w:val="nil"/>
              <w:tr2bl w:val="nil"/>
            </w:tcBorders>
            <w:vAlign w:val="center"/>
          </w:tcPr>
          <w:p w14:paraId="4F50DC3C">
            <w:pPr>
              <w:spacing w:line="360" w:lineRule="auto"/>
              <w:jc w:val="center"/>
              <w:rPr>
                <w:rFonts w:ascii="宋体" w:hAnsi="宋体" w:cs="宋体"/>
                <w:b/>
                <w:color w:val="000000"/>
                <w:szCs w:val="21"/>
              </w:rPr>
            </w:pPr>
          </w:p>
        </w:tc>
        <w:tc>
          <w:tcPr>
            <w:tcW w:w="7485" w:type="dxa"/>
            <w:tcBorders>
              <w:tl2br w:val="nil"/>
              <w:tr2bl w:val="nil"/>
            </w:tcBorders>
            <w:vAlign w:val="center"/>
          </w:tcPr>
          <w:p w14:paraId="742959E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5）财务系统采购指标退回接口：在采购系统中采购申请退回申请人后，需调用财务系统采购指标退回接口，释放本次采购申请占用的指标金额。</w:t>
            </w:r>
          </w:p>
        </w:tc>
      </w:tr>
      <w:tr w14:paraId="61BA3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847C2F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17</w:t>
            </w:r>
          </w:p>
        </w:tc>
        <w:tc>
          <w:tcPr>
            <w:tcW w:w="1548" w:type="dxa"/>
            <w:vMerge w:val="continue"/>
            <w:tcBorders>
              <w:tl2br w:val="nil"/>
              <w:tr2bl w:val="nil"/>
            </w:tcBorders>
            <w:vAlign w:val="center"/>
          </w:tcPr>
          <w:p w14:paraId="3B96E6D5">
            <w:pPr>
              <w:spacing w:line="360" w:lineRule="auto"/>
              <w:jc w:val="center"/>
              <w:rPr>
                <w:rFonts w:ascii="宋体" w:hAnsi="宋体" w:cs="宋体"/>
                <w:b/>
                <w:color w:val="000000"/>
                <w:szCs w:val="21"/>
              </w:rPr>
            </w:pPr>
          </w:p>
        </w:tc>
        <w:tc>
          <w:tcPr>
            <w:tcW w:w="7485" w:type="dxa"/>
            <w:tcBorders>
              <w:tl2br w:val="nil"/>
              <w:tr2bl w:val="nil"/>
            </w:tcBorders>
            <w:vAlign w:val="center"/>
          </w:tcPr>
          <w:p w14:paraId="695A80C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6）财务系统提供采购申请作废接口：当在采购系统中删除采购申请时，需要调用财务系统采购申请作废接口，一方面释放本次采购申请占用的指标金额，另一方面删除对应财务系统的采购申请信息。</w:t>
            </w:r>
          </w:p>
        </w:tc>
      </w:tr>
      <w:tr w14:paraId="3C8CD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EB0411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18</w:t>
            </w:r>
          </w:p>
        </w:tc>
        <w:tc>
          <w:tcPr>
            <w:tcW w:w="1548" w:type="dxa"/>
            <w:vMerge w:val="continue"/>
            <w:tcBorders>
              <w:tl2br w:val="nil"/>
              <w:tr2bl w:val="nil"/>
            </w:tcBorders>
            <w:vAlign w:val="center"/>
          </w:tcPr>
          <w:p w14:paraId="53912561">
            <w:pPr>
              <w:spacing w:line="360" w:lineRule="auto"/>
              <w:jc w:val="center"/>
              <w:rPr>
                <w:rFonts w:ascii="宋体" w:hAnsi="宋体" w:cs="宋体"/>
                <w:b/>
                <w:color w:val="000000"/>
                <w:szCs w:val="21"/>
              </w:rPr>
            </w:pPr>
          </w:p>
        </w:tc>
        <w:tc>
          <w:tcPr>
            <w:tcW w:w="7485" w:type="dxa"/>
            <w:tcBorders>
              <w:tl2br w:val="nil"/>
              <w:tr2bl w:val="nil"/>
            </w:tcBorders>
            <w:vAlign w:val="center"/>
          </w:tcPr>
          <w:p w14:paraId="13A36C4F">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7）财务系统提供采购申请明细信息获取接口：采购系统可以通过财务系统采购申请明细信息获取比对接口获取同步到财务系统的采购申请信息明细，以便比对采购信息数据一致性及时发现问题解决问题，避免网络异常等情况导致双方系统数据不一致。支持按照时间等条件查询获取采购明细信息。</w:t>
            </w:r>
          </w:p>
        </w:tc>
      </w:tr>
      <w:tr w14:paraId="12DA9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C93758A">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19</w:t>
            </w:r>
          </w:p>
        </w:tc>
        <w:tc>
          <w:tcPr>
            <w:tcW w:w="1548" w:type="dxa"/>
            <w:vMerge w:val="restart"/>
            <w:tcBorders>
              <w:tl2br w:val="nil"/>
              <w:tr2bl w:val="nil"/>
            </w:tcBorders>
            <w:vAlign w:val="center"/>
          </w:tcPr>
          <w:p w14:paraId="36E9BD85">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合同审核对接</w:t>
            </w:r>
          </w:p>
        </w:tc>
        <w:tc>
          <w:tcPr>
            <w:tcW w:w="7485" w:type="dxa"/>
            <w:tcBorders>
              <w:tl2br w:val="nil"/>
              <w:tr2bl w:val="nil"/>
            </w:tcBorders>
            <w:vAlign w:val="center"/>
          </w:tcPr>
          <w:p w14:paraId="4BB5C7AA">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财务系统提供合同信息同步接口：采购系统合同审批通过后，调用财务系统合同信息同步接口，将合同基本信息、付款计划、预算指标（若指标有所调整财务系统应调整指标预算金额）、合同备案信息、过程办理意见等信息同步到财务系统。</w:t>
            </w:r>
          </w:p>
        </w:tc>
      </w:tr>
      <w:tr w14:paraId="08392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6DFF08A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20</w:t>
            </w:r>
          </w:p>
        </w:tc>
        <w:tc>
          <w:tcPr>
            <w:tcW w:w="1548" w:type="dxa"/>
            <w:vMerge w:val="continue"/>
            <w:tcBorders>
              <w:tl2br w:val="nil"/>
              <w:tr2bl w:val="nil"/>
            </w:tcBorders>
            <w:vAlign w:val="center"/>
          </w:tcPr>
          <w:p w14:paraId="22661E67">
            <w:pPr>
              <w:spacing w:line="360" w:lineRule="auto"/>
              <w:jc w:val="center"/>
              <w:rPr>
                <w:rFonts w:ascii="宋体" w:hAnsi="宋体" w:cs="宋体"/>
                <w:b/>
                <w:color w:val="000000"/>
                <w:szCs w:val="21"/>
              </w:rPr>
            </w:pPr>
          </w:p>
        </w:tc>
        <w:tc>
          <w:tcPr>
            <w:tcW w:w="7485" w:type="dxa"/>
            <w:tcBorders>
              <w:tl2br w:val="nil"/>
              <w:tr2bl w:val="nil"/>
            </w:tcBorders>
            <w:vAlign w:val="center"/>
          </w:tcPr>
          <w:p w14:paraId="174364CA">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财务系统提供合同变更接口接口：采购系统合同变更审核通过后，调用财务系统合同变更信息同步接口，将合同基本信息、付款计划、预算指标（若指标有所调整财务系统应调整指标预算信息）、合同备案信息、过程办理意见等变更信息同步到财务系统。</w:t>
            </w:r>
          </w:p>
        </w:tc>
      </w:tr>
      <w:tr w14:paraId="45DFA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02D0AC0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21</w:t>
            </w:r>
          </w:p>
        </w:tc>
        <w:tc>
          <w:tcPr>
            <w:tcW w:w="1548" w:type="dxa"/>
            <w:vMerge w:val="continue"/>
            <w:tcBorders>
              <w:tl2br w:val="nil"/>
              <w:tr2bl w:val="nil"/>
            </w:tcBorders>
            <w:vAlign w:val="center"/>
          </w:tcPr>
          <w:p w14:paraId="1A1593B7">
            <w:pPr>
              <w:spacing w:line="360" w:lineRule="auto"/>
              <w:jc w:val="center"/>
              <w:rPr>
                <w:rFonts w:ascii="宋体" w:hAnsi="宋体" w:cs="宋体"/>
                <w:b/>
                <w:color w:val="000000"/>
                <w:szCs w:val="21"/>
              </w:rPr>
            </w:pPr>
          </w:p>
        </w:tc>
        <w:tc>
          <w:tcPr>
            <w:tcW w:w="7485" w:type="dxa"/>
            <w:tcBorders>
              <w:tl2br w:val="nil"/>
              <w:tr2bl w:val="nil"/>
            </w:tcBorders>
            <w:vAlign w:val="center"/>
          </w:tcPr>
          <w:p w14:paraId="75F0C30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3）财务系统提供合同明细信息获取接口：采购系统可调用财务系统合同明细信息获取接口获取合同明细信息，以便比对双方系统合同信息的一致性，及时发现问题解决问题，避免网络异常等情况导致双方系统数据不一致。支持按照时间等条件查询获取合同明细信息。</w:t>
            </w:r>
          </w:p>
        </w:tc>
      </w:tr>
      <w:tr w14:paraId="244CE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FC72158">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22</w:t>
            </w:r>
          </w:p>
        </w:tc>
        <w:tc>
          <w:tcPr>
            <w:tcW w:w="1548" w:type="dxa"/>
            <w:vMerge w:val="restart"/>
            <w:tcBorders>
              <w:tl2br w:val="nil"/>
              <w:tr2bl w:val="nil"/>
            </w:tcBorders>
            <w:vAlign w:val="center"/>
          </w:tcPr>
          <w:p w14:paraId="7746395C">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合同支付对接</w:t>
            </w:r>
          </w:p>
        </w:tc>
        <w:tc>
          <w:tcPr>
            <w:tcW w:w="7485" w:type="dxa"/>
            <w:tcBorders>
              <w:tl2br w:val="nil"/>
              <w:tr2bl w:val="nil"/>
            </w:tcBorders>
            <w:vAlign w:val="center"/>
          </w:tcPr>
          <w:p w14:paraId="390256B0">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1）采购系统提供合同支付信息同步接口：财务系统合同支付申请审核通过后，需调用采购系统合同支付支付信息同步接口，同步合同支付信息到采购系统。</w:t>
            </w:r>
          </w:p>
        </w:tc>
      </w:tr>
      <w:tr w14:paraId="4A80A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63FEAB8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23</w:t>
            </w:r>
          </w:p>
        </w:tc>
        <w:tc>
          <w:tcPr>
            <w:tcW w:w="1548" w:type="dxa"/>
            <w:vMerge w:val="continue"/>
            <w:tcBorders>
              <w:tl2br w:val="nil"/>
              <w:tr2bl w:val="nil"/>
            </w:tcBorders>
            <w:vAlign w:val="center"/>
          </w:tcPr>
          <w:p w14:paraId="0884A68C">
            <w:pPr>
              <w:spacing w:line="360" w:lineRule="auto"/>
              <w:jc w:val="center"/>
              <w:rPr>
                <w:rFonts w:ascii="宋体" w:hAnsi="宋体" w:cs="宋体"/>
                <w:b/>
                <w:color w:val="000000"/>
                <w:szCs w:val="21"/>
              </w:rPr>
            </w:pPr>
          </w:p>
        </w:tc>
        <w:tc>
          <w:tcPr>
            <w:tcW w:w="7485" w:type="dxa"/>
            <w:tcBorders>
              <w:tl2br w:val="nil"/>
              <w:tr2bl w:val="nil"/>
            </w:tcBorders>
            <w:vAlign w:val="center"/>
          </w:tcPr>
          <w:p w14:paraId="1D6AAB74">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财务系统提供合同支付信息获取接口：采购系统通过财务系统合同支付信息获取接口，比对双方系统合同支付信息的一致性，以便及时发现问题解决问题，避免双方系统因网络故障等情况造成的数据不一致性。</w:t>
            </w:r>
          </w:p>
        </w:tc>
      </w:tr>
      <w:tr w14:paraId="10759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F4FA18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24</w:t>
            </w:r>
          </w:p>
        </w:tc>
        <w:tc>
          <w:tcPr>
            <w:tcW w:w="1548" w:type="dxa"/>
            <w:vMerge w:val="restart"/>
            <w:tcBorders>
              <w:tl2br w:val="nil"/>
              <w:tr2bl w:val="nil"/>
            </w:tcBorders>
            <w:vAlign w:val="center"/>
          </w:tcPr>
          <w:p w14:paraId="240140F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非合同报销对接</w:t>
            </w:r>
          </w:p>
        </w:tc>
        <w:tc>
          <w:tcPr>
            <w:tcW w:w="7485" w:type="dxa"/>
            <w:tcBorders>
              <w:tl2br w:val="nil"/>
              <w:tr2bl w:val="nil"/>
            </w:tcBorders>
            <w:vAlign w:val="center"/>
          </w:tcPr>
          <w:p w14:paraId="372514B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1）采购系统提供非合同报销申请同步接口：财务系统非合同报销申请审核通过后，调用采购系统非合同报销申请同步接口，将非合同报销申请信息同步到采购系统。</w:t>
            </w:r>
          </w:p>
        </w:tc>
      </w:tr>
      <w:tr w14:paraId="7725D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3A2A449F">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25</w:t>
            </w:r>
          </w:p>
        </w:tc>
        <w:tc>
          <w:tcPr>
            <w:tcW w:w="1548" w:type="dxa"/>
            <w:vMerge w:val="continue"/>
            <w:tcBorders>
              <w:tl2br w:val="nil"/>
              <w:tr2bl w:val="nil"/>
            </w:tcBorders>
            <w:vAlign w:val="center"/>
          </w:tcPr>
          <w:p w14:paraId="73CCC05F">
            <w:pPr>
              <w:spacing w:line="360" w:lineRule="auto"/>
              <w:jc w:val="center"/>
              <w:rPr>
                <w:rFonts w:ascii="宋体" w:hAnsi="宋体" w:cs="宋体"/>
                <w:b/>
                <w:color w:val="000000"/>
                <w:szCs w:val="21"/>
              </w:rPr>
            </w:pPr>
          </w:p>
        </w:tc>
        <w:tc>
          <w:tcPr>
            <w:tcW w:w="7485" w:type="dxa"/>
            <w:tcBorders>
              <w:tl2br w:val="nil"/>
              <w:tr2bl w:val="nil"/>
            </w:tcBorders>
            <w:vAlign w:val="center"/>
          </w:tcPr>
          <w:p w14:paraId="25EA98A8">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财务系统提供非合同报销申请信息获取接口：采购系统通过财务系统非合同报销申请信息获取接口，比对双方系统非合同报销申请信息的一致性，以便及时发现问题解决问题，避免双方系统因网络故障等情况造成的数据不一致性。</w:t>
            </w:r>
          </w:p>
        </w:tc>
      </w:tr>
      <w:tr w14:paraId="5C0C3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03AC7796">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（2）固定资产与耗材管理系统对接</w:t>
            </w:r>
          </w:p>
        </w:tc>
      </w:tr>
      <w:tr w14:paraId="3F464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FD544AA">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26</w:t>
            </w:r>
          </w:p>
        </w:tc>
        <w:tc>
          <w:tcPr>
            <w:tcW w:w="1548" w:type="dxa"/>
            <w:tcBorders>
              <w:tl2br w:val="nil"/>
              <w:tr2bl w:val="nil"/>
            </w:tcBorders>
            <w:vAlign w:val="center"/>
          </w:tcPr>
          <w:p w14:paraId="69DA715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固定资产入库对接</w:t>
            </w:r>
          </w:p>
        </w:tc>
        <w:tc>
          <w:tcPr>
            <w:tcW w:w="7485" w:type="dxa"/>
            <w:tcBorders>
              <w:tl2br w:val="nil"/>
              <w:tr2bl w:val="nil"/>
            </w:tcBorders>
            <w:vAlign w:val="center"/>
          </w:tcPr>
          <w:p w14:paraId="34F49301">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采购验收申请通过后，对于采购项目关联的固定资产列表即可转入固定资产入库界面，资产入库经办人可补充资产入库部分信息后，提交固定资产入库申请。</w:t>
            </w:r>
          </w:p>
        </w:tc>
      </w:tr>
      <w:tr w14:paraId="502A8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439BBED">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27</w:t>
            </w:r>
          </w:p>
        </w:tc>
        <w:tc>
          <w:tcPr>
            <w:tcW w:w="1548" w:type="dxa"/>
            <w:tcBorders>
              <w:tl2br w:val="nil"/>
              <w:tr2bl w:val="nil"/>
            </w:tcBorders>
            <w:vAlign w:val="center"/>
          </w:tcPr>
          <w:p w14:paraId="405C6C2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耗材入库对接</w:t>
            </w:r>
          </w:p>
        </w:tc>
        <w:tc>
          <w:tcPr>
            <w:tcW w:w="7485" w:type="dxa"/>
            <w:tcBorders>
              <w:tl2br w:val="nil"/>
              <w:tr2bl w:val="nil"/>
            </w:tcBorders>
            <w:vAlign w:val="center"/>
          </w:tcPr>
          <w:p w14:paraId="58377502">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采购验收申请通过后，对于采购项目关联的耗材列表即可转入耗材入库界面，耗材入库经办人可补充耗材入库部分信息后，转入耗材库。</w:t>
            </w:r>
          </w:p>
        </w:tc>
      </w:tr>
      <w:tr w14:paraId="57579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5AC1EC7F">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（3）综合服务平台对接</w:t>
            </w:r>
          </w:p>
        </w:tc>
      </w:tr>
      <w:tr w14:paraId="3CB24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6D8B068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28</w:t>
            </w:r>
          </w:p>
        </w:tc>
        <w:tc>
          <w:tcPr>
            <w:tcW w:w="1548" w:type="dxa"/>
            <w:vMerge w:val="restart"/>
            <w:tcBorders>
              <w:tl2br w:val="nil"/>
              <w:tr2bl w:val="nil"/>
            </w:tcBorders>
            <w:vAlign w:val="center"/>
          </w:tcPr>
          <w:p w14:paraId="3BACA2D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单点登录对接</w:t>
            </w:r>
          </w:p>
        </w:tc>
        <w:tc>
          <w:tcPr>
            <w:tcW w:w="7485" w:type="dxa"/>
            <w:tcBorders>
              <w:tl2br w:val="nil"/>
              <w:tr2bl w:val="nil"/>
            </w:tcBorders>
            <w:vAlign w:val="center"/>
          </w:tcPr>
          <w:p w14:paraId="6B9BED69">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1）获取用户登录token接口：综合服务平台注册采购系统，提供采购系统APP_CODE与APP_SECRET，同时提供获取用户登录token接口，采购系统通过应用系统编号和密钥调用token获取接口获得用户登录凭证。</w:t>
            </w:r>
          </w:p>
        </w:tc>
      </w:tr>
      <w:tr w14:paraId="33DEA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0014A31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29</w:t>
            </w:r>
          </w:p>
        </w:tc>
        <w:tc>
          <w:tcPr>
            <w:tcW w:w="1548" w:type="dxa"/>
            <w:vMerge w:val="continue"/>
            <w:tcBorders>
              <w:tl2br w:val="nil"/>
              <w:tr2bl w:val="nil"/>
            </w:tcBorders>
            <w:vAlign w:val="center"/>
          </w:tcPr>
          <w:p w14:paraId="5AF9B850">
            <w:pPr>
              <w:spacing w:line="360" w:lineRule="auto"/>
              <w:jc w:val="center"/>
              <w:rPr>
                <w:rFonts w:ascii="宋体" w:hAnsi="宋体" w:cs="宋体"/>
                <w:b/>
                <w:color w:val="000000"/>
                <w:szCs w:val="21"/>
              </w:rPr>
            </w:pPr>
          </w:p>
        </w:tc>
        <w:tc>
          <w:tcPr>
            <w:tcW w:w="7485" w:type="dxa"/>
            <w:tcBorders>
              <w:tl2br w:val="nil"/>
              <w:tr2bl w:val="nil"/>
            </w:tcBorders>
            <w:vAlign w:val="center"/>
          </w:tcPr>
          <w:p w14:paraId="176674B8">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2）获取用户登录信息接口：综合服务平台提供获取用户登录信息接口，采购系统调用接口获取综合服务平台用户信息，初始化采购系统会话信息。</w:t>
            </w:r>
          </w:p>
        </w:tc>
      </w:tr>
      <w:tr w14:paraId="345F2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6CAF7BD6">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30</w:t>
            </w:r>
          </w:p>
        </w:tc>
        <w:tc>
          <w:tcPr>
            <w:tcW w:w="1548" w:type="dxa"/>
            <w:vMerge w:val="restart"/>
            <w:tcBorders>
              <w:tl2br w:val="nil"/>
              <w:tr2bl w:val="nil"/>
            </w:tcBorders>
            <w:vAlign w:val="center"/>
          </w:tcPr>
          <w:p w14:paraId="6EE1AD9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组织机构同步对接</w:t>
            </w:r>
          </w:p>
        </w:tc>
        <w:tc>
          <w:tcPr>
            <w:tcW w:w="7485" w:type="dxa"/>
            <w:tcBorders>
              <w:tl2br w:val="nil"/>
              <w:tr2bl w:val="nil"/>
            </w:tcBorders>
            <w:vAlign w:val="center"/>
          </w:tcPr>
          <w:p w14:paraId="6E7264B1">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1）获取所有部门接口：综合服务平台提供获取所有部门接口，采购系统启用时，可以通过此接口获取综合服务平台所有部门信息初始化采购系统部门信息。</w:t>
            </w:r>
          </w:p>
        </w:tc>
      </w:tr>
      <w:tr w14:paraId="59D1A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BF60FF5">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31</w:t>
            </w:r>
          </w:p>
        </w:tc>
        <w:tc>
          <w:tcPr>
            <w:tcW w:w="1548" w:type="dxa"/>
            <w:vMerge w:val="continue"/>
            <w:tcBorders>
              <w:tl2br w:val="nil"/>
              <w:tr2bl w:val="nil"/>
            </w:tcBorders>
            <w:vAlign w:val="center"/>
          </w:tcPr>
          <w:p w14:paraId="48F705D0">
            <w:pPr>
              <w:spacing w:line="360" w:lineRule="auto"/>
              <w:jc w:val="center"/>
              <w:rPr>
                <w:rFonts w:ascii="宋体" w:hAnsi="宋体" w:cs="宋体"/>
                <w:b/>
                <w:color w:val="000000"/>
                <w:szCs w:val="21"/>
              </w:rPr>
            </w:pPr>
          </w:p>
        </w:tc>
        <w:tc>
          <w:tcPr>
            <w:tcW w:w="7485" w:type="dxa"/>
            <w:tcBorders>
              <w:tl2br w:val="nil"/>
              <w:tr2bl w:val="nil"/>
            </w:tcBorders>
            <w:vAlign w:val="center"/>
          </w:tcPr>
          <w:p w14:paraId="670264D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2）获取所有用户接口：综合服务平台提供获取所有用户接口，采购系统启用时，可以通过此接口获取综合服务平台所有用户信息初始化采购系统用户信息。</w:t>
            </w:r>
          </w:p>
        </w:tc>
      </w:tr>
      <w:tr w14:paraId="4C209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7C086171">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32</w:t>
            </w:r>
          </w:p>
        </w:tc>
        <w:tc>
          <w:tcPr>
            <w:tcW w:w="1548" w:type="dxa"/>
            <w:vMerge w:val="continue"/>
            <w:tcBorders>
              <w:tl2br w:val="nil"/>
              <w:tr2bl w:val="nil"/>
            </w:tcBorders>
            <w:vAlign w:val="center"/>
          </w:tcPr>
          <w:p w14:paraId="580DFBD1">
            <w:pPr>
              <w:spacing w:line="360" w:lineRule="auto"/>
              <w:jc w:val="center"/>
              <w:rPr>
                <w:rFonts w:ascii="宋体" w:hAnsi="宋体" w:cs="宋体"/>
                <w:b/>
                <w:color w:val="000000"/>
                <w:szCs w:val="21"/>
              </w:rPr>
            </w:pPr>
          </w:p>
        </w:tc>
        <w:tc>
          <w:tcPr>
            <w:tcW w:w="7485" w:type="dxa"/>
            <w:tcBorders>
              <w:tl2br w:val="nil"/>
              <w:tr2bl w:val="nil"/>
            </w:tcBorders>
            <w:vAlign w:val="center"/>
          </w:tcPr>
          <w:p w14:paraId="7152792D">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3）新增部门信息接口：采购系统按照综合服务平台接口标准提供新增部门信息接口，综合服务平台配置此接口后，在综合服务平台新增部门时将调用此接口推送部门信息到采购系统。</w:t>
            </w:r>
          </w:p>
        </w:tc>
      </w:tr>
      <w:tr w14:paraId="2D03C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B21C06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33</w:t>
            </w:r>
          </w:p>
        </w:tc>
        <w:tc>
          <w:tcPr>
            <w:tcW w:w="1548" w:type="dxa"/>
            <w:vMerge w:val="continue"/>
            <w:tcBorders>
              <w:tl2br w:val="nil"/>
              <w:tr2bl w:val="nil"/>
            </w:tcBorders>
            <w:vAlign w:val="center"/>
          </w:tcPr>
          <w:p w14:paraId="0E44DDF2">
            <w:pPr>
              <w:spacing w:line="360" w:lineRule="auto"/>
              <w:jc w:val="center"/>
              <w:rPr>
                <w:rFonts w:ascii="宋体" w:hAnsi="宋体" w:cs="宋体"/>
                <w:b/>
                <w:color w:val="000000"/>
                <w:szCs w:val="21"/>
              </w:rPr>
            </w:pPr>
          </w:p>
        </w:tc>
        <w:tc>
          <w:tcPr>
            <w:tcW w:w="7485" w:type="dxa"/>
            <w:tcBorders>
              <w:tl2br w:val="nil"/>
              <w:tr2bl w:val="nil"/>
            </w:tcBorders>
            <w:vAlign w:val="center"/>
          </w:tcPr>
          <w:p w14:paraId="4748F24C">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4）修改部门信息接口：采购系统按照综合服务平台接口标准提供修改部门信息接口，综合服务平台配置此接口后，在综合服务平台修改部门信息时将调用此接口推送部门更新信息到采购系统。</w:t>
            </w:r>
          </w:p>
        </w:tc>
      </w:tr>
      <w:tr w14:paraId="6FFD5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3D144542">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34</w:t>
            </w:r>
          </w:p>
        </w:tc>
        <w:tc>
          <w:tcPr>
            <w:tcW w:w="1548" w:type="dxa"/>
            <w:vMerge w:val="continue"/>
            <w:tcBorders>
              <w:tl2br w:val="nil"/>
              <w:tr2bl w:val="nil"/>
            </w:tcBorders>
            <w:vAlign w:val="center"/>
          </w:tcPr>
          <w:p w14:paraId="0C7061CD">
            <w:pPr>
              <w:spacing w:line="360" w:lineRule="auto"/>
              <w:jc w:val="center"/>
              <w:rPr>
                <w:rFonts w:ascii="宋体" w:hAnsi="宋体" w:cs="宋体"/>
                <w:b/>
                <w:color w:val="000000"/>
                <w:szCs w:val="21"/>
              </w:rPr>
            </w:pPr>
          </w:p>
        </w:tc>
        <w:tc>
          <w:tcPr>
            <w:tcW w:w="7485" w:type="dxa"/>
            <w:tcBorders>
              <w:tl2br w:val="nil"/>
              <w:tr2bl w:val="nil"/>
            </w:tcBorders>
            <w:vAlign w:val="center"/>
          </w:tcPr>
          <w:p w14:paraId="6F08365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5）删除部门接口：采购系统按照综合服务平台接口标准提供部门删除接口，综合服务平台配置此接口后，在综合服务平台删除部门时将调用此接口删除采购系统部门信息。</w:t>
            </w:r>
          </w:p>
        </w:tc>
      </w:tr>
      <w:tr w14:paraId="0F73C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2277C8F">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35</w:t>
            </w:r>
          </w:p>
        </w:tc>
        <w:tc>
          <w:tcPr>
            <w:tcW w:w="1548" w:type="dxa"/>
            <w:vMerge w:val="continue"/>
            <w:tcBorders>
              <w:tl2br w:val="nil"/>
              <w:tr2bl w:val="nil"/>
            </w:tcBorders>
            <w:vAlign w:val="center"/>
          </w:tcPr>
          <w:p w14:paraId="4E6E6152">
            <w:pPr>
              <w:spacing w:line="360" w:lineRule="auto"/>
              <w:jc w:val="center"/>
              <w:rPr>
                <w:rFonts w:ascii="宋体" w:hAnsi="宋体" w:cs="宋体"/>
                <w:b/>
                <w:color w:val="000000"/>
                <w:szCs w:val="21"/>
              </w:rPr>
            </w:pPr>
          </w:p>
        </w:tc>
        <w:tc>
          <w:tcPr>
            <w:tcW w:w="7485" w:type="dxa"/>
            <w:tcBorders>
              <w:tl2br w:val="nil"/>
              <w:tr2bl w:val="nil"/>
            </w:tcBorders>
            <w:vAlign w:val="center"/>
          </w:tcPr>
          <w:p w14:paraId="5204E329">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6）新增用户信息接口：采购系统按照综合服务平台接口标准提供新增用户信息接口，综合服务平台配置此接口后，在综合服务平台新增用户时将调用此接口推送用户信息到采购系统。</w:t>
            </w:r>
          </w:p>
        </w:tc>
      </w:tr>
      <w:tr w14:paraId="2350C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7EA2CE6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36</w:t>
            </w:r>
          </w:p>
        </w:tc>
        <w:tc>
          <w:tcPr>
            <w:tcW w:w="1548" w:type="dxa"/>
            <w:vMerge w:val="continue"/>
            <w:tcBorders>
              <w:tl2br w:val="nil"/>
              <w:tr2bl w:val="nil"/>
            </w:tcBorders>
            <w:vAlign w:val="center"/>
          </w:tcPr>
          <w:p w14:paraId="0F1A1F18">
            <w:pPr>
              <w:spacing w:line="360" w:lineRule="auto"/>
              <w:jc w:val="center"/>
              <w:rPr>
                <w:rFonts w:ascii="宋体" w:hAnsi="宋体" w:cs="宋体"/>
                <w:b/>
                <w:color w:val="000000"/>
                <w:szCs w:val="21"/>
              </w:rPr>
            </w:pPr>
          </w:p>
        </w:tc>
        <w:tc>
          <w:tcPr>
            <w:tcW w:w="7485" w:type="dxa"/>
            <w:tcBorders>
              <w:tl2br w:val="nil"/>
              <w:tr2bl w:val="nil"/>
            </w:tcBorders>
            <w:vAlign w:val="center"/>
          </w:tcPr>
          <w:p w14:paraId="2488B564">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7）修改用户信息接口：采购系统按照综合服务平台接口标准提供修改用户信息接口，综合服务平台配置此接口后，在综合服务平台修改用户信息时将调用此接口推送用户更新信息到采购系统。</w:t>
            </w:r>
          </w:p>
        </w:tc>
      </w:tr>
      <w:tr w14:paraId="5739E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3410398">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37</w:t>
            </w:r>
          </w:p>
        </w:tc>
        <w:tc>
          <w:tcPr>
            <w:tcW w:w="1548" w:type="dxa"/>
            <w:vMerge w:val="continue"/>
            <w:tcBorders>
              <w:tl2br w:val="nil"/>
              <w:tr2bl w:val="nil"/>
            </w:tcBorders>
            <w:vAlign w:val="center"/>
          </w:tcPr>
          <w:p w14:paraId="5D17584B">
            <w:pPr>
              <w:spacing w:line="360" w:lineRule="auto"/>
              <w:jc w:val="center"/>
              <w:rPr>
                <w:rFonts w:ascii="宋体" w:hAnsi="宋体" w:cs="宋体"/>
                <w:b/>
                <w:color w:val="000000"/>
                <w:szCs w:val="21"/>
              </w:rPr>
            </w:pPr>
          </w:p>
        </w:tc>
        <w:tc>
          <w:tcPr>
            <w:tcW w:w="7485" w:type="dxa"/>
            <w:tcBorders>
              <w:tl2br w:val="nil"/>
              <w:tr2bl w:val="nil"/>
            </w:tcBorders>
            <w:vAlign w:val="center"/>
          </w:tcPr>
          <w:p w14:paraId="05CB8B84">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8）删除用户接口：采购系统按照综合服务平台接口标准提供用户删除接口，综合服务平台配置此接口后，在综合服务平台删除用户时将调用此接口删除采购系统用户信息。</w:t>
            </w:r>
          </w:p>
        </w:tc>
      </w:tr>
      <w:tr w14:paraId="62CA2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9B23878">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38</w:t>
            </w:r>
          </w:p>
        </w:tc>
        <w:tc>
          <w:tcPr>
            <w:tcW w:w="1548" w:type="dxa"/>
            <w:vMerge w:val="restart"/>
            <w:tcBorders>
              <w:tl2br w:val="nil"/>
              <w:tr2bl w:val="nil"/>
            </w:tcBorders>
            <w:vAlign w:val="center"/>
          </w:tcPr>
          <w:p w14:paraId="1BB2D60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消息推送对接</w:t>
            </w:r>
          </w:p>
        </w:tc>
        <w:tc>
          <w:tcPr>
            <w:tcW w:w="7485" w:type="dxa"/>
            <w:tcBorders>
              <w:tl2br w:val="nil"/>
              <w:tr2bl w:val="nil"/>
            </w:tcBorders>
            <w:vAlign w:val="center"/>
          </w:tcPr>
          <w:p w14:paraId="140DC13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1）待办消息推送接口：综合服务平台提供待办消息推送接口，采购系统通过调用此接口在综合服务平台待办事宜中生产采购系统待办消息。</w:t>
            </w:r>
          </w:p>
        </w:tc>
      </w:tr>
      <w:tr w14:paraId="15132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6104E60D">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39</w:t>
            </w:r>
          </w:p>
        </w:tc>
        <w:tc>
          <w:tcPr>
            <w:tcW w:w="1548" w:type="dxa"/>
            <w:vMerge w:val="continue"/>
            <w:tcBorders>
              <w:tl2br w:val="nil"/>
              <w:tr2bl w:val="nil"/>
            </w:tcBorders>
            <w:vAlign w:val="center"/>
          </w:tcPr>
          <w:p w14:paraId="28B1ED51">
            <w:pPr>
              <w:spacing w:line="360" w:lineRule="auto"/>
              <w:jc w:val="center"/>
              <w:rPr>
                <w:rFonts w:ascii="宋体" w:hAnsi="宋体" w:cs="宋体"/>
                <w:b/>
                <w:color w:val="000000"/>
                <w:szCs w:val="21"/>
              </w:rPr>
            </w:pPr>
          </w:p>
        </w:tc>
        <w:tc>
          <w:tcPr>
            <w:tcW w:w="7485" w:type="dxa"/>
            <w:tcBorders>
              <w:tl2br w:val="nil"/>
              <w:tr2bl w:val="nil"/>
            </w:tcBorders>
            <w:vAlign w:val="center"/>
          </w:tcPr>
          <w:p w14:paraId="0D24EE89">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2）待办信息办结接口：综合服务平台提供待办消息办结接口，采购系统采购事项办结后通过调用此接口在综合服务平台标识待办消息已办结的状态。</w:t>
            </w:r>
          </w:p>
        </w:tc>
      </w:tr>
      <w:tr w14:paraId="6AD3C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76FF6D1F">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（4）数字化办公系统对接</w:t>
            </w:r>
          </w:p>
        </w:tc>
      </w:tr>
      <w:tr w14:paraId="44CF3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7A3D9272">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40</w:t>
            </w:r>
          </w:p>
        </w:tc>
        <w:tc>
          <w:tcPr>
            <w:tcW w:w="1548" w:type="dxa"/>
            <w:tcBorders>
              <w:tl2br w:val="nil"/>
              <w:tr2bl w:val="nil"/>
            </w:tcBorders>
            <w:vAlign w:val="center"/>
          </w:tcPr>
          <w:p w14:paraId="7A7D291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印章申请对接</w:t>
            </w:r>
          </w:p>
        </w:tc>
        <w:tc>
          <w:tcPr>
            <w:tcW w:w="7485" w:type="dxa"/>
            <w:tcBorders>
              <w:tl2br w:val="nil"/>
              <w:tr2bl w:val="nil"/>
            </w:tcBorders>
            <w:vAlign w:val="center"/>
          </w:tcPr>
          <w:p w14:paraId="642F8921">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采购合同盖章与数字化办公系统印章申请接口对接；采购验收盖章与数字化办公系统印章申请接口对接。</w:t>
            </w:r>
          </w:p>
        </w:tc>
      </w:tr>
      <w:tr w14:paraId="0E4BE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560E0B2F">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41</w:t>
            </w:r>
          </w:p>
        </w:tc>
        <w:tc>
          <w:tcPr>
            <w:tcW w:w="1548" w:type="dxa"/>
            <w:tcBorders>
              <w:tl2br w:val="nil"/>
              <w:tr2bl w:val="nil"/>
            </w:tcBorders>
            <w:vAlign w:val="center"/>
          </w:tcPr>
          <w:p w14:paraId="084A3474">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官网或通知公告对接</w:t>
            </w:r>
          </w:p>
        </w:tc>
        <w:tc>
          <w:tcPr>
            <w:tcW w:w="7485" w:type="dxa"/>
            <w:tcBorders>
              <w:tl2br w:val="nil"/>
              <w:tr2bl w:val="nil"/>
            </w:tcBorders>
            <w:vAlign w:val="center"/>
          </w:tcPr>
          <w:p w14:paraId="09750531">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招标需求公示环节与数字化办公系统通知公告或官网新闻发布对接；中标结果公示环节与数字化办公系统通知公告或官网新闻发布对接。</w:t>
            </w:r>
          </w:p>
        </w:tc>
      </w:tr>
      <w:tr w14:paraId="0EB8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7AEA8EBE">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四、统计分析</w:t>
            </w:r>
          </w:p>
        </w:tc>
      </w:tr>
      <w:tr w14:paraId="3227C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9B64315">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42</w:t>
            </w:r>
          </w:p>
        </w:tc>
        <w:tc>
          <w:tcPr>
            <w:tcW w:w="1548" w:type="dxa"/>
            <w:tcBorders>
              <w:tl2br w:val="nil"/>
              <w:tr2bl w:val="nil"/>
            </w:tcBorders>
            <w:vAlign w:val="center"/>
          </w:tcPr>
          <w:p w14:paraId="192ACD4E">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统计报表查询与导出</w:t>
            </w:r>
          </w:p>
        </w:tc>
        <w:tc>
          <w:tcPr>
            <w:tcW w:w="7485" w:type="dxa"/>
            <w:tcBorders>
              <w:tl2br w:val="nil"/>
              <w:tr2bl w:val="nil"/>
            </w:tcBorders>
            <w:vAlign w:val="center"/>
          </w:tcPr>
          <w:p w14:paraId="760E7363">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围绕学校采购工作实际需求，提供相关统计报表查询与导出功能，满足数据分析相关应用场景。</w:t>
            </w:r>
          </w:p>
        </w:tc>
      </w:tr>
      <w:tr w14:paraId="69204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22E48D41">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43</w:t>
            </w:r>
          </w:p>
        </w:tc>
        <w:tc>
          <w:tcPr>
            <w:tcW w:w="1548" w:type="dxa"/>
            <w:tcBorders>
              <w:tl2br w:val="nil"/>
              <w:tr2bl w:val="nil"/>
            </w:tcBorders>
            <w:vAlign w:val="center"/>
          </w:tcPr>
          <w:p w14:paraId="07693D98">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数据大屏</w:t>
            </w:r>
          </w:p>
        </w:tc>
        <w:tc>
          <w:tcPr>
            <w:tcW w:w="7485" w:type="dxa"/>
            <w:tcBorders>
              <w:tl2br w:val="nil"/>
              <w:tr2bl w:val="nil"/>
            </w:tcBorders>
            <w:vAlign w:val="center"/>
          </w:tcPr>
          <w:p w14:paraId="591B25C1">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构建可视化采购专题大屏，以饼状图、柱状图、列表试图等直观的形式呈现采购全流程核心数据，为学校领导采购决策提供精准、全面的数据支撑。</w:t>
            </w:r>
          </w:p>
        </w:tc>
      </w:tr>
      <w:tr w14:paraId="6A477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742" w:type="dxa"/>
            <w:gridSpan w:val="3"/>
            <w:tcBorders>
              <w:tl2br w:val="nil"/>
              <w:tr2bl w:val="nil"/>
            </w:tcBorders>
            <w:vAlign w:val="center"/>
          </w:tcPr>
          <w:p w14:paraId="02B2A43B">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五、基础信息设置</w:t>
            </w:r>
          </w:p>
        </w:tc>
      </w:tr>
      <w:tr w14:paraId="7F9A0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718D3E7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44</w:t>
            </w:r>
          </w:p>
        </w:tc>
        <w:tc>
          <w:tcPr>
            <w:tcW w:w="1548" w:type="dxa"/>
            <w:tcBorders>
              <w:tl2br w:val="nil"/>
              <w:tr2bl w:val="nil"/>
            </w:tcBorders>
            <w:vAlign w:val="center"/>
          </w:tcPr>
          <w:p w14:paraId="677CBAE7">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供应商档案库</w:t>
            </w:r>
          </w:p>
        </w:tc>
        <w:tc>
          <w:tcPr>
            <w:tcW w:w="7485" w:type="dxa"/>
            <w:tcBorders>
              <w:tl2br w:val="nil"/>
              <w:tr2bl w:val="nil"/>
            </w:tcBorders>
            <w:vAlign w:val="center"/>
          </w:tcPr>
          <w:p w14:paraId="6AFF1715">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通过招标评审中标单位、合同审批签约方、验收申请供货服务单位等多业务场景的信息录入，结合供应商全称语义匹配解析技术，打通供应商与招标项目、招标评审、验收申请等核心业务环节的关联链路，逐步构建形成完整的供应商档案库。</w:t>
            </w:r>
          </w:p>
        </w:tc>
      </w:tr>
      <w:tr w14:paraId="62CD6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4DDD5F72">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45</w:t>
            </w:r>
          </w:p>
        </w:tc>
        <w:tc>
          <w:tcPr>
            <w:tcW w:w="1548" w:type="dxa"/>
            <w:tcBorders>
              <w:tl2br w:val="nil"/>
              <w:tr2bl w:val="nil"/>
            </w:tcBorders>
            <w:vAlign w:val="center"/>
          </w:tcPr>
          <w:p w14:paraId="3A5CF41B">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招标机构档案库</w:t>
            </w:r>
          </w:p>
        </w:tc>
        <w:tc>
          <w:tcPr>
            <w:tcW w:w="7485" w:type="dxa"/>
            <w:tcBorders>
              <w:tl2br w:val="nil"/>
              <w:tr2bl w:val="nil"/>
            </w:tcBorders>
            <w:vAlign w:val="center"/>
          </w:tcPr>
          <w:p w14:paraId="5A811564">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支持招标机构信息的添加、修改与启用/禁用操作，通过在招标评审表中选择招标机构，建立其与采购项目的关联，逐步构建规范化招标机构档案库。</w:t>
            </w:r>
          </w:p>
        </w:tc>
      </w:tr>
      <w:tr w14:paraId="4845A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2164A59">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46</w:t>
            </w:r>
          </w:p>
        </w:tc>
        <w:tc>
          <w:tcPr>
            <w:tcW w:w="1548" w:type="dxa"/>
            <w:tcBorders>
              <w:tl2br w:val="nil"/>
              <w:tr2bl w:val="nil"/>
            </w:tcBorders>
            <w:vAlign w:val="center"/>
          </w:tcPr>
          <w:p w14:paraId="4C2BB600">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采购品目库</w:t>
            </w:r>
          </w:p>
        </w:tc>
        <w:tc>
          <w:tcPr>
            <w:tcW w:w="7485" w:type="dxa"/>
            <w:tcBorders>
              <w:tl2br w:val="nil"/>
              <w:tr2bl w:val="nil"/>
            </w:tcBorders>
            <w:vAlign w:val="center"/>
          </w:tcPr>
          <w:p w14:paraId="02372599">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按照财政部统一制定的《政府采购品目分类目录》标准，对采购品目全层级内容进行维护，确保品目分类符合国家相关规范。</w:t>
            </w:r>
          </w:p>
        </w:tc>
      </w:tr>
      <w:tr w14:paraId="123EF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09" w:type="dxa"/>
            <w:tcBorders>
              <w:tl2br w:val="nil"/>
              <w:tr2bl w:val="nil"/>
            </w:tcBorders>
            <w:vAlign w:val="center"/>
          </w:tcPr>
          <w:p w14:paraId="16817D99">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47</w:t>
            </w:r>
          </w:p>
        </w:tc>
        <w:tc>
          <w:tcPr>
            <w:tcW w:w="1548" w:type="dxa"/>
            <w:tcBorders>
              <w:tl2br w:val="nil"/>
              <w:tr2bl w:val="nil"/>
            </w:tcBorders>
            <w:vAlign w:val="center"/>
          </w:tcPr>
          <w:p w14:paraId="6E960EC8">
            <w:pPr>
              <w:spacing w:line="360" w:lineRule="auto"/>
              <w:jc w:val="center"/>
              <w:textAlignment w:val="center"/>
              <w:rPr>
                <w:rFonts w:ascii="宋体" w:hAnsi="宋体" w:cs="宋体"/>
                <w:b/>
                <w:color w:val="000000"/>
                <w:szCs w:val="21"/>
              </w:rPr>
            </w:pPr>
            <w:r>
              <w:rPr>
                <w:rFonts w:hint="eastAsia" w:ascii="宋体" w:hAnsi="宋体" w:cs="宋体"/>
                <w:color w:val="000000"/>
                <w:kern w:val="0"/>
                <w:szCs w:val="21"/>
                <w:lang w:bidi="ar"/>
              </w:rPr>
              <w:t>数据字典库</w:t>
            </w:r>
          </w:p>
        </w:tc>
        <w:tc>
          <w:tcPr>
            <w:tcW w:w="7485" w:type="dxa"/>
            <w:tcBorders>
              <w:tl2br w:val="nil"/>
              <w:tr2bl w:val="nil"/>
            </w:tcBorders>
            <w:vAlign w:val="center"/>
          </w:tcPr>
          <w:p w14:paraId="27059EEC">
            <w:pPr>
              <w:spacing w:line="360" w:lineRule="auto"/>
              <w:jc w:val="left"/>
              <w:textAlignment w:val="center"/>
              <w:rPr>
                <w:rFonts w:ascii="宋体" w:hAnsi="宋体" w:cs="宋体"/>
                <w:b/>
                <w:color w:val="000000"/>
                <w:szCs w:val="21"/>
              </w:rPr>
            </w:pPr>
            <w:r>
              <w:rPr>
                <w:rFonts w:hint="eastAsia" w:ascii="宋体" w:hAnsi="宋体" w:cs="宋体"/>
                <w:color w:val="000000"/>
                <w:kern w:val="0"/>
                <w:szCs w:val="21"/>
                <w:lang w:bidi="ar"/>
              </w:rPr>
              <w:t>提供采购业务全品类核心数据选项的标准化维护功能，如：采购方式、采购类型、工程类型、货物类型、服务类型等，支持数据项的灵活配置与统一管控，为采购业务流程的规范化运转与数据统计分析提供标准化数据支撑。</w:t>
            </w:r>
          </w:p>
        </w:tc>
      </w:tr>
    </w:tbl>
    <w:p w14:paraId="07ABD1BD">
      <w:pPr>
        <w:snapToGrid w:val="0"/>
        <w:spacing w:line="360" w:lineRule="auto"/>
        <w:jc w:val="left"/>
        <w:outlineLvl w:val="0"/>
        <w:rPr>
          <w:rFonts w:ascii="宋体" w:hAnsi="宋体" w:cs="宋体"/>
          <w:b/>
          <w:bCs/>
          <w:kern w:val="0"/>
          <w:szCs w:val="21"/>
        </w:rPr>
      </w:pPr>
      <w:r>
        <w:rPr>
          <w:rFonts w:hint="eastAsia" w:ascii="宋体" w:hAnsi="宋体" w:cs="宋体"/>
          <w:b/>
          <w:bCs/>
          <w:kern w:val="0"/>
          <w:szCs w:val="21"/>
        </w:rPr>
        <w:t>（二）项目人员及工作要求：</w:t>
      </w:r>
    </w:p>
    <w:p w14:paraId="606D6ECA">
      <w:pPr>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1.要求中标人根据学校需求定制化开发采购系统，学校在讨论业务流程与关键核心问题时，项目研发人员必须到现场参与讨论并解决实际问题，在合同期服务期内通过原型及迭代方式持续开发改进。</w:t>
      </w:r>
    </w:p>
    <w:p w14:paraId="1DBF39AF">
      <w:pPr>
        <w:pStyle w:val="506"/>
        <w:widowControl w:val="0"/>
        <w:wordWrap/>
        <w:spacing w:afterLines="0" w:line="360" w:lineRule="auto"/>
        <w:ind w:firstLine="436"/>
        <w:rPr>
          <w:snapToGrid/>
          <w:spacing w:val="0"/>
          <w:sz w:val="21"/>
          <w:szCs w:val="21"/>
        </w:rPr>
      </w:pPr>
      <w:r>
        <w:rPr>
          <w:rFonts w:hint="eastAsia"/>
          <w:color w:val="000000"/>
          <w:kern w:val="0"/>
          <w:sz w:val="21"/>
          <w:szCs w:val="21"/>
        </w:rPr>
        <w:t>2.中标人须指派一名固定驻点实施人员（具备软件测试高级或项目管理资格证书）全程参与项目落地，负责收集采购人迭代需求，并指导采购人完成系统操作与应用。</w:t>
      </w:r>
    </w:p>
    <w:p w14:paraId="00254149">
      <w:pPr>
        <w:pStyle w:val="506"/>
        <w:widowControl w:val="0"/>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自合同签订之日起一年。</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32201625">
      <w:pPr>
        <w:spacing w:line="360" w:lineRule="auto"/>
        <w:ind w:firstLine="420" w:firstLineChars="200"/>
        <w:jc w:val="left"/>
        <w:rPr>
          <w:rFonts w:ascii="宋体" w:hAnsi="宋体"/>
          <w:szCs w:val="21"/>
        </w:rPr>
      </w:pPr>
      <w:r>
        <w:rPr>
          <w:rFonts w:hint="eastAsia" w:ascii="宋体" w:hAnsi="宋体"/>
          <w:szCs w:val="21"/>
        </w:rPr>
        <w:t>1.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6AC74476">
      <w:pPr>
        <w:spacing w:line="360" w:lineRule="auto"/>
        <w:ind w:firstLine="420" w:firstLineChars="200"/>
        <w:jc w:val="left"/>
        <w:rPr>
          <w:rFonts w:ascii="宋体" w:hAnsi="宋体"/>
          <w:szCs w:val="21"/>
        </w:rPr>
      </w:pPr>
      <w:r>
        <w:rPr>
          <w:rFonts w:hint="eastAsia" w:ascii="宋体" w:hAnsi="宋体"/>
          <w:szCs w:val="21"/>
        </w:rPr>
        <w:t>2.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BFDC0B9">
      <w:pPr>
        <w:spacing w:line="360" w:lineRule="auto"/>
        <w:ind w:firstLine="420" w:firstLineChars="200"/>
        <w:jc w:val="left"/>
        <w:rPr>
          <w:rFonts w:ascii="宋体" w:hAnsi="宋体"/>
          <w:szCs w:val="21"/>
        </w:rPr>
      </w:pPr>
      <w:r>
        <w:rPr>
          <w:rFonts w:hint="eastAsia" w:ascii="宋体" w:hAnsi="宋体"/>
          <w:szCs w:val="21"/>
        </w:rPr>
        <w:t>2.1投标总价明显低于财政预算，未对报低价的原因作出合理说明的，评委会有权认定为该报价低于成本价并按投标无效处理。</w:t>
      </w:r>
    </w:p>
    <w:p w14:paraId="30DA09A4">
      <w:pPr>
        <w:spacing w:line="360" w:lineRule="auto"/>
        <w:ind w:firstLine="420" w:firstLineChars="200"/>
        <w:jc w:val="left"/>
        <w:rPr>
          <w:rFonts w:ascii="宋体" w:hAnsi="宋体"/>
          <w:szCs w:val="21"/>
        </w:rPr>
      </w:pPr>
      <w:r>
        <w:rPr>
          <w:rFonts w:hint="eastAsia" w:ascii="宋体" w:hAnsi="宋体"/>
          <w:szCs w:val="21"/>
        </w:rPr>
        <w:t>2.2供应商的报价说明是否合理，由评委会判定，如评委会认为该报价低于成本价则作投标无效处理。</w:t>
      </w:r>
    </w:p>
    <w:p w14:paraId="7F921F47">
      <w:pPr>
        <w:spacing w:line="360" w:lineRule="auto"/>
        <w:ind w:firstLine="420" w:firstLineChars="200"/>
        <w:jc w:val="left"/>
        <w:rPr>
          <w:rFonts w:ascii="宋体" w:hAnsi="宋体"/>
          <w:szCs w:val="21"/>
        </w:rPr>
      </w:pPr>
      <w:r>
        <w:rPr>
          <w:rFonts w:hint="eastAsia" w:ascii="宋体" w:hAnsi="宋体"/>
          <w:szCs w:val="21"/>
        </w:rPr>
        <w:t>2.3如该报价成为中标价格，该项目将成为重点监管、重点验收项目。</w:t>
      </w:r>
    </w:p>
    <w:p w14:paraId="53AC9C09">
      <w:pPr>
        <w:spacing w:line="360" w:lineRule="auto"/>
        <w:ind w:firstLine="420" w:firstLineChars="200"/>
        <w:jc w:val="left"/>
        <w:rPr>
          <w:rFonts w:ascii="宋体" w:hAnsi="宋体"/>
          <w:szCs w:val="21"/>
        </w:rPr>
      </w:pPr>
      <w:r>
        <w:rPr>
          <w:rFonts w:hint="eastAsia" w:ascii="宋体" w:hAnsi="宋体"/>
          <w:szCs w:val="21"/>
        </w:rPr>
        <w:t>3.投标人的投标报价不得超过财政预算限额。</w:t>
      </w:r>
    </w:p>
    <w:p w14:paraId="76BFD37D">
      <w:pPr>
        <w:spacing w:line="360" w:lineRule="auto"/>
        <w:ind w:firstLine="420" w:firstLineChars="200"/>
        <w:jc w:val="left"/>
        <w:rPr>
          <w:rFonts w:ascii="宋体" w:hAnsi="宋体"/>
          <w:szCs w:val="21"/>
        </w:rPr>
      </w:pPr>
      <w:r>
        <w:rPr>
          <w:rFonts w:hint="eastAsia" w:ascii="宋体" w:hAnsi="宋体"/>
          <w:szCs w:val="21"/>
        </w:rPr>
        <w:t>4.投标人的投标报价，应是本项目招标范围和招标文件及合同条款上所列的各项内容中所述的全部，不得以任何理由予以重复，并以投标人在投标文件中提出的综合单价或总价为依据。</w:t>
      </w:r>
    </w:p>
    <w:p w14:paraId="59E3D201">
      <w:pPr>
        <w:spacing w:line="360" w:lineRule="auto"/>
        <w:ind w:firstLine="420" w:firstLineChars="200"/>
        <w:jc w:val="left"/>
        <w:rPr>
          <w:rFonts w:ascii="宋体" w:hAnsi="宋体"/>
          <w:szCs w:val="21"/>
        </w:rPr>
      </w:pPr>
      <w:r>
        <w:rPr>
          <w:rFonts w:hint="eastAsia" w:ascii="宋体" w:hAnsi="宋体"/>
          <w:szCs w:val="21"/>
        </w:rPr>
        <w:t>5.除非招标代理机构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14:paraId="02E54BF7">
      <w:pPr>
        <w:spacing w:line="360" w:lineRule="auto"/>
        <w:ind w:firstLine="420" w:firstLineChars="200"/>
        <w:jc w:val="left"/>
        <w:rPr>
          <w:rFonts w:ascii="宋体" w:hAnsi="宋体"/>
          <w:szCs w:val="21"/>
        </w:rPr>
      </w:pPr>
      <w:r>
        <w:rPr>
          <w:rFonts w:hint="eastAsia" w:ascii="宋体" w:hAnsi="宋体"/>
          <w:szCs w:val="21"/>
        </w:rPr>
        <w:t>6.投标人应先到项目地点踏勘以充分了解项目的位置、情况、道路及任何其它足以影响投标报价的情况，任何因忽视或误解项目情况而导致的索赔或服务期限延长申请将不获批准。</w:t>
      </w:r>
    </w:p>
    <w:p w14:paraId="71BCE99B">
      <w:pPr>
        <w:spacing w:line="360" w:lineRule="auto"/>
        <w:ind w:firstLine="420" w:firstLineChars="200"/>
        <w:jc w:val="left"/>
        <w:rPr>
          <w:rFonts w:ascii="宋体" w:hAnsi="宋体"/>
          <w:szCs w:val="21"/>
        </w:rPr>
      </w:pPr>
      <w:r>
        <w:rPr>
          <w:rFonts w:hint="eastAsia" w:ascii="宋体" w:hAnsi="宋体"/>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（四）付款方式（具体以合同签订为准）：</w:t>
      </w:r>
    </w:p>
    <w:p w14:paraId="5E674717">
      <w:pPr>
        <w:spacing w:line="360" w:lineRule="auto"/>
        <w:ind w:firstLine="420" w:firstLineChars="200"/>
        <w:jc w:val="left"/>
        <w:rPr>
          <w:rFonts w:ascii="宋体" w:hAnsi="宋体"/>
          <w:szCs w:val="21"/>
        </w:rPr>
      </w:pPr>
      <w:r>
        <w:rPr>
          <w:rFonts w:hint="eastAsia" w:ascii="宋体" w:hAnsi="宋体"/>
          <w:szCs w:val="21"/>
        </w:rPr>
        <w:t>（1）预付款：合同签订后支付合同金额的40%。</w:t>
      </w:r>
    </w:p>
    <w:p w14:paraId="76370C24">
      <w:pPr>
        <w:spacing w:line="360" w:lineRule="auto"/>
        <w:ind w:firstLine="420" w:firstLineChars="200"/>
        <w:jc w:val="left"/>
        <w:rPr>
          <w:rFonts w:ascii="宋体" w:hAnsi="宋体"/>
          <w:szCs w:val="21"/>
        </w:rPr>
      </w:pPr>
      <w:r>
        <w:rPr>
          <w:rFonts w:hint="eastAsia" w:ascii="宋体" w:hAnsi="宋体"/>
          <w:szCs w:val="21"/>
        </w:rPr>
        <w:t>（2）验收合格：项目整体经采购人验收合格，中标人开具发票后10个工作日内采购人支付合同总额的60%。</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61A05363">
      <w:pPr>
        <w:spacing w:line="360" w:lineRule="auto"/>
        <w:ind w:firstLine="424" w:firstLineChars="202"/>
        <w:rPr>
          <w:rFonts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25138237">
      <w:pPr>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131FB5B4">
      <w:pPr>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77EABC17">
      <w:pPr>
        <w:spacing w:line="360" w:lineRule="auto"/>
        <w:ind w:firstLine="424" w:firstLineChars="202"/>
        <w:rPr>
          <w:rFonts w:ascii="宋体" w:hAnsi="宋体" w:cs="宋体"/>
          <w:b/>
          <w:bCs/>
          <w:kern w:val="0"/>
          <w:szCs w:val="21"/>
        </w:rPr>
      </w:pPr>
      <w:r>
        <w:rPr>
          <w:rFonts w:hint="eastAsia" w:ascii="宋体" w:hAnsi="宋体" w:cs="宋体"/>
          <w:kern w:val="0"/>
          <w:szCs w:val="21"/>
        </w:rPr>
        <w:t>b、符合项目技术服务要求，通过采购人验收。</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4AE604A5">
      <w:pPr>
        <w:spacing w:line="360" w:lineRule="auto"/>
        <w:ind w:firstLine="420" w:firstLineChars="200"/>
        <w:rPr>
          <w:rFonts w:ascii="宋体" w:hAnsi="宋体" w:cs="楷体"/>
          <w:bCs/>
        </w:rPr>
      </w:pPr>
      <w:r>
        <w:rPr>
          <w:rFonts w:hint="eastAsia" w:ascii="宋体" w:hAnsi="宋体" w:cs="楷体"/>
          <w:bCs/>
        </w:rPr>
        <w:t>1.服务期间，因中标人管理不善、项目实施流程不当等自身责任，引发系统安全漏洞、运维事故等问题，造成采购单位人员伤害或财产损失的，采购单位有权终止合同，由此产生的全部损失及违约责任由中标人承担。</w:t>
      </w:r>
    </w:p>
    <w:p w14:paraId="66A8B1F2">
      <w:pPr>
        <w:spacing w:line="360" w:lineRule="auto"/>
        <w:ind w:firstLine="420" w:firstLineChars="200"/>
        <w:rPr>
          <w:rFonts w:ascii="宋体" w:hAnsi="宋体" w:cs="楷体"/>
          <w:bCs/>
        </w:rPr>
      </w:pPr>
      <w:r>
        <w:rPr>
          <w:rFonts w:hint="eastAsia" w:ascii="宋体" w:hAnsi="宋体" w:cs="楷体"/>
          <w:bCs/>
        </w:rPr>
        <w:t>2.中标人不得将项目非法分包或转包给任何单位和个人。否则，采购单位依法有权即刻终止合同，并要求中标人赔偿相应损失。</w:t>
      </w:r>
    </w:p>
    <w:p w14:paraId="46F3D117">
      <w:pPr>
        <w:spacing w:line="360" w:lineRule="auto"/>
        <w:ind w:firstLine="420" w:firstLineChars="200"/>
        <w:rPr>
          <w:rFonts w:ascii="宋体" w:hAnsi="宋体" w:cs="楷体"/>
          <w:bCs/>
        </w:rPr>
      </w:pPr>
      <w:r>
        <w:rPr>
          <w:rFonts w:hint="eastAsia" w:ascii="宋体" w:hAnsi="宋体" w:cs="楷体"/>
          <w:bCs/>
        </w:rPr>
        <w:t>3.中标人不得将项目非法分包或转包给任何单位和个人。否则，采购单位有权即刻终止合同，并要求中标人赔偿相应损失。</w:t>
      </w:r>
    </w:p>
    <w:p w14:paraId="0E9D9E2E">
      <w:pPr>
        <w:keepNext/>
        <w:keepLines/>
        <w:adjustRightInd w:val="0"/>
        <w:spacing w:before="156" w:beforeLines="50" w:after="156" w:afterLines="50"/>
        <w:jc w:val="left"/>
        <w:textAlignment w:val="baseline"/>
        <w:outlineLvl w:val="1"/>
        <w:rPr>
          <w:rFonts w:ascii="宋体" w:hAnsi="宋体"/>
          <w:b/>
          <w:kern w:val="0"/>
          <w:sz w:val="24"/>
        </w:rPr>
      </w:pPr>
    </w:p>
    <w:p w14:paraId="4A3354C9">
      <w:pPr>
        <w:keepNext/>
        <w:keepLines/>
        <w:adjustRightInd w:val="0"/>
        <w:spacing w:before="156" w:beforeLines="50" w:after="156" w:afterLines="50"/>
        <w:jc w:val="left"/>
        <w:textAlignment w:val="baseline"/>
        <w:outlineLvl w:val="1"/>
        <w:rPr>
          <w:rFonts w:ascii="宋体" w:hAnsi="宋体"/>
          <w:b/>
          <w:bCs/>
          <w:kern w:val="0"/>
          <w:sz w:val="28"/>
          <w:szCs w:val="28"/>
        </w:rPr>
      </w:pPr>
      <w:r>
        <w:rPr>
          <w:rFonts w:hint="eastAsia" w:ascii="宋体" w:hAnsi="宋体"/>
          <w:b/>
          <w:kern w:val="0"/>
          <w:sz w:val="24"/>
        </w:rPr>
        <w:t>四、演示要求</w:t>
      </w:r>
    </w:p>
    <w:p w14:paraId="429E9619">
      <w:pPr>
        <w:spacing w:line="360" w:lineRule="auto"/>
        <w:ind w:firstLine="420" w:firstLineChars="200"/>
        <w:rPr>
          <w:rFonts w:ascii="宋体" w:hAnsi="宋体" w:cs="宋体"/>
          <w:szCs w:val="21"/>
        </w:rPr>
      </w:pPr>
      <w:r>
        <w:rPr>
          <w:rFonts w:hint="eastAsia" w:ascii="宋体" w:hAnsi="宋体" w:cs="宋体"/>
          <w:szCs w:val="21"/>
        </w:rPr>
        <w:t>（一）总体要求：</w:t>
      </w:r>
    </w:p>
    <w:p w14:paraId="7835D409">
      <w:pPr>
        <w:spacing w:line="360" w:lineRule="auto"/>
        <w:ind w:firstLine="420" w:firstLineChars="200"/>
        <w:rPr>
          <w:rFonts w:ascii="宋体" w:hAnsi="宋体" w:cs="宋体"/>
          <w:szCs w:val="21"/>
        </w:rPr>
      </w:pPr>
      <w:r>
        <w:rPr>
          <w:rFonts w:hint="eastAsia" w:ascii="宋体" w:hAnsi="宋体" w:cs="宋体"/>
          <w:szCs w:val="21"/>
        </w:rPr>
        <w:t>演示地点提供电源、投影仪及宽带上网环境（有WIFI），由投标人代表自带手提电脑、无线路由器、便携式服务器、U盘及其它能完成演示操作的设备（具体以投标人实际需要为准）进行演示。由于演示场地有限，建议勿携带过大设备进行演示。</w:t>
      </w:r>
    </w:p>
    <w:p w14:paraId="18C48D1A">
      <w:pPr>
        <w:spacing w:line="360" w:lineRule="auto"/>
        <w:ind w:firstLine="420" w:firstLineChars="200"/>
        <w:rPr>
          <w:rFonts w:ascii="宋体" w:hAnsi="宋体" w:cs="宋体"/>
          <w:szCs w:val="21"/>
        </w:rPr>
      </w:pPr>
      <w:r>
        <w:rPr>
          <w:rFonts w:hint="eastAsia" w:ascii="宋体" w:hAnsi="宋体" w:cs="宋体"/>
          <w:szCs w:val="21"/>
        </w:rPr>
        <w:t>每个投标人的现场演示时间不超过15分钟（演示期间评委将进行提问，并有权酌情延长时间），现场演示人员不得超过2人。</w:t>
      </w:r>
    </w:p>
    <w:p w14:paraId="0C0F6BF0">
      <w:pPr>
        <w:spacing w:line="360" w:lineRule="auto"/>
        <w:ind w:firstLine="420" w:firstLineChars="200"/>
        <w:rPr>
          <w:rFonts w:ascii="宋体" w:hAnsi="宋体" w:cs="宋体"/>
          <w:szCs w:val="21"/>
        </w:rPr>
      </w:pPr>
      <w:r>
        <w:rPr>
          <w:rFonts w:hint="eastAsia" w:ascii="宋体" w:hAnsi="宋体" w:cs="宋体"/>
          <w:szCs w:val="21"/>
        </w:rPr>
        <w:t>（二）签到要求：</w:t>
      </w:r>
    </w:p>
    <w:p w14:paraId="7B4F1A5C">
      <w:pPr>
        <w:spacing w:line="360" w:lineRule="auto"/>
        <w:ind w:firstLine="420" w:firstLineChars="200"/>
        <w:rPr>
          <w:rFonts w:ascii="宋体" w:hAnsi="宋体" w:cs="宋体"/>
          <w:szCs w:val="21"/>
          <w:highlight w:val="yellow"/>
        </w:rPr>
      </w:pPr>
      <w:r>
        <w:rPr>
          <w:rFonts w:hint="eastAsia" w:ascii="宋体" w:hAnsi="宋体" w:cs="宋体"/>
          <w:szCs w:val="21"/>
          <w:highlight w:val="yellow"/>
        </w:rPr>
        <w:t>参加现场演示的投标人须在</w:t>
      </w:r>
      <w:r>
        <w:rPr>
          <w:rFonts w:hint="eastAsia" w:ascii="宋体" w:hAnsi="宋体"/>
          <w:b/>
          <w:highlight w:val="yellow"/>
          <w:u w:val="single"/>
        </w:rPr>
        <w:t>投标截止时间</w:t>
      </w:r>
      <w:r>
        <w:rPr>
          <w:rFonts w:hint="eastAsia" w:ascii="宋体" w:hAnsi="宋体" w:cs="宋体"/>
          <w:b/>
          <w:szCs w:val="21"/>
          <w:highlight w:val="yellow"/>
        </w:rPr>
        <w:t>前，携带法定代表人证明书（盖公章）及法人授权委托书（盖公章）</w:t>
      </w:r>
      <w:r>
        <w:rPr>
          <w:rFonts w:hint="eastAsia" w:ascii="宋体" w:hAnsi="宋体" w:cs="宋体"/>
          <w:szCs w:val="21"/>
          <w:highlight w:val="yellow"/>
        </w:rPr>
        <w:t>，到达深圳市中正招标有限公司开标室，按工作人员指引进行签到。</w:t>
      </w:r>
    </w:p>
    <w:p w14:paraId="276D6A96">
      <w:pPr>
        <w:spacing w:line="360" w:lineRule="auto"/>
        <w:ind w:firstLine="422" w:firstLineChars="200"/>
        <w:rPr>
          <w:rFonts w:ascii="宋体" w:hAnsi="宋体" w:cs="宋体"/>
          <w:b/>
          <w:szCs w:val="21"/>
        </w:rPr>
      </w:pPr>
      <w:r>
        <w:rPr>
          <w:rFonts w:hint="eastAsia" w:ascii="宋体" w:hAnsi="宋体" w:cs="宋体"/>
          <w:b/>
          <w:szCs w:val="21"/>
          <w:highlight w:val="yellow"/>
        </w:rPr>
        <w:t>特别注意事项：（1）资料提供不齐全的，不予签到；（2）签到截止时间后不再受理签到；（3）未签到的人员，不能参与现场演示。</w:t>
      </w:r>
    </w:p>
    <w:p w14:paraId="0CEAD693">
      <w:pPr>
        <w:spacing w:line="360" w:lineRule="auto"/>
        <w:ind w:firstLine="420" w:firstLineChars="200"/>
        <w:rPr>
          <w:rFonts w:ascii="宋体" w:hAnsi="宋体" w:cs="宋体"/>
          <w:szCs w:val="21"/>
        </w:rPr>
      </w:pPr>
      <w:r>
        <w:rPr>
          <w:rFonts w:hint="eastAsia" w:ascii="宋体" w:hAnsi="宋体" w:cs="宋体"/>
          <w:szCs w:val="21"/>
        </w:rPr>
        <w:t>（三）演示内容：</w:t>
      </w:r>
    </w:p>
    <w:p w14:paraId="33A7C53B">
      <w:pPr>
        <w:spacing w:line="360" w:lineRule="auto"/>
        <w:ind w:firstLine="420" w:firstLineChars="200"/>
        <w:rPr>
          <w:rFonts w:ascii="宋体" w:hAnsi="宋体" w:cs="楷体"/>
          <w:bCs/>
        </w:rPr>
      </w:pPr>
      <w:r>
        <w:rPr>
          <w:rFonts w:hint="eastAsia" w:ascii="宋体" w:hAnsi="宋体" w:cs="楷体"/>
          <w:bCs/>
        </w:rPr>
        <w:t>详见招标文件“</w:t>
      </w:r>
      <w:r>
        <w:rPr>
          <w:rFonts w:hint="eastAsia"/>
        </w:rPr>
        <w:t>第四章  评标方法和标准</w:t>
      </w:r>
      <w:r>
        <w:rPr>
          <w:rFonts w:hint="eastAsia" w:ascii="宋体" w:hAnsi="宋体" w:cs="楷体"/>
          <w:bCs/>
        </w:rPr>
        <w:t>”中“</w:t>
      </w:r>
      <w:r>
        <w:rPr>
          <w:rFonts w:hint="eastAsia"/>
        </w:rPr>
        <w:t>二、评标标准</w:t>
      </w:r>
      <w:r>
        <w:rPr>
          <w:rFonts w:hint="eastAsia" w:ascii="宋体" w:hAnsi="宋体" w:cs="楷体"/>
          <w:bCs/>
        </w:rPr>
        <w:t>”的“现场演示”评分项要求。</w:t>
      </w:r>
    </w:p>
    <w:p w14:paraId="1B06AE9D">
      <w:pPr>
        <w:ind w:firstLine="420" w:firstLineChars="200"/>
      </w:pPr>
      <w:bookmarkStart w:id="8" w:name="_Toc135293161"/>
    </w:p>
    <w:p w14:paraId="3301BB2A">
      <w:r>
        <w:rPr>
          <w:rFonts w:hint="eastAsia"/>
        </w:rPr>
        <w:br w:type="page"/>
      </w:r>
    </w:p>
    <w:p w14:paraId="4E9A8D12">
      <w:pPr>
        <w:pStyle w:val="4"/>
      </w:pPr>
    </w:p>
    <w:p w14:paraId="260C741C">
      <w:pPr>
        <w:pStyle w:val="2"/>
      </w:pPr>
      <w:r>
        <w:rPr>
          <w:rFonts w:hint="eastAsia"/>
        </w:rPr>
        <w:t>第三章  投标文件初审</w:t>
      </w:r>
      <w:bookmarkEnd w:id="8"/>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pStyle w:val="2"/>
        <w:spacing w:after="0"/>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429"/>
      <w:bookmarkStart w:id="11" w:name="_Toc44691393"/>
      <w:bookmarkStart w:id="12" w:name="_Toc135293163"/>
      <w:bookmarkStart w:id="13" w:name="_Toc44691161"/>
      <w:bookmarkStart w:id="14" w:name="_Toc44690702"/>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评分项及评分规则</w:t>
            </w:r>
          </w:p>
        </w:tc>
        <w:tc>
          <w:tcPr>
            <w:tcW w:w="1187" w:type="dxa"/>
            <w:vAlign w:val="center"/>
          </w:tcPr>
          <w:p w14:paraId="36B78B90">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一、价格部分</w:t>
            </w:r>
          </w:p>
        </w:tc>
        <w:tc>
          <w:tcPr>
            <w:tcW w:w="1187" w:type="dxa"/>
            <w:vAlign w:val="center"/>
          </w:tcPr>
          <w:p w14:paraId="1DE27575">
            <w:pPr>
              <w:autoSpaceDE w:val="0"/>
              <w:autoSpaceDN w:val="0"/>
              <w:adjustRightInd w:val="0"/>
              <w:spacing w:line="360" w:lineRule="auto"/>
              <w:jc w:val="center"/>
              <w:rPr>
                <w:rFonts w:ascii="宋体" w:hAnsi="宋体" w:cs="宋体"/>
                <w:b/>
                <w:szCs w:val="21"/>
              </w:rPr>
            </w:pPr>
            <w:r>
              <w:rPr>
                <w:rFonts w:hint="eastAsia" w:ascii="宋体" w:hAnsi="宋体" w:cs="宋体"/>
                <w:b/>
                <w:szCs w:val="21"/>
              </w:rPr>
              <w:t>15</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spacing w:line="360" w:lineRule="auto"/>
              <w:jc w:val="left"/>
              <w:rPr>
                <w:rFonts w:ascii="宋体" w:hAnsi="宋体" w:cs="宋体"/>
                <w:szCs w:val="21"/>
              </w:rPr>
            </w:pPr>
            <w:r>
              <w:rPr>
                <w:rFonts w:hint="eastAsia" w:ascii="宋体" w:hAnsi="宋体" w:cs="宋体"/>
                <w:szCs w:val="21"/>
              </w:rPr>
              <w:t>价格分采用低价优先法计算，即满足招标文件要求且投标价格最低的投标报价为评标基准价，其价格分为满分。其他投标人的价格分统一按照下列公式计算：</w:t>
            </w:r>
          </w:p>
          <w:p w14:paraId="63368570">
            <w:pPr>
              <w:spacing w:line="360" w:lineRule="auto"/>
              <w:jc w:val="left"/>
              <w:rPr>
                <w:rFonts w:ascii="宋体" w:hAnsi="宋体" w:cs="宋体"/>
                <w:szCs w:val="21"/>
              </w:rPr>
            </w:pPr>
            <w:r>
              <w:rPr>
                <w:rFonts w:hint="eastAsia" w:ascii="宋体" w:hAnsi="宋体" w:cs="宋体"/>
                <w:szCs w:val="21"/>
              </w:rPr>
              <w:t>投标报价得分=(评标基准价／投标报价)×权重</w:t>
            </w:r>
          </w:p>
          <w:p w14:paraId="7B571D75">
            <w:pPr>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rPr>
              <w:t>备注：</w:t>
            </w:r>
          </w:p>
          <w:p w14:paraId="4FBF6DC5">
            <w:pPr>
              <w:adjustRightInd w:val="0"/>
              <w:snapToGrid w:val="0"/>
              <w:spacing w:line="360" w:lineRule="auto"/>
              <w:rPr>
                <w:rFonts w:ascii="宋体" w:hAnsi="宋体" w:cs="宋体"/>
                <w:bCs/>
                <w:snapToGrid w:val="0"/>
                <w:kern w:val="0"/>
                <w:szCs w:val="21"/>
              </w:rPr>
            </w:pPr>
            <w:r>
              <w:rPr>
                <w:rFonts w:hint="eastAsia" w:ascii="宋体" w:hAnsi="宋体" w:cs="宋体"/>
                <w:snapToGrid w:val="0"/>
                <w:kern w:val="0"/>
                <w:szCs w:val="21"/>
              </w:rPr>
              <w:t>1、因落实政府采购政策进行价格调整的，以调整后的价格计算评标基准价和投标报价</w:t>
            </w:r>
            <w:r>
              <w:rPr>
                <w:rFonts w:hint="eastAsia" w:ascii="宋体" w:hAnsi="宋体" w:cs="宋体"/>
                <w:bCs/>
                <w:snapToGrid w:val="0"/>
                <w:kern w:val="0"/>
                <w:szCs w:val="21"/>
              </w:rPr>
              <w:t>；</w:t>
            </w:r>
          </w:p>
          <w:p w14:paraId="2A37719C">
            <w:pPr>
              <w:autoSpaceDE w:val="0"/>
              <w:autoSpaceDN w:val="0"/>
              <w:adjustRightInd w:val="0"/>
              <w:spacing w:line="360" w:lineRule="auto"/>
              <w:jc w:val="left"/>
              <w:rPr>
                <w:rFonts w:ascii="宋体" w:hAnsi="宋体" w:cs="宋体"/>
                <w:szCs w:val="21"/>
              </w:rPr>
            </w:pPr>
            <w:r>
              <w:rPr>
                <w:rFonts w:hint="eastAsia" w:ascii="宋体" w:hAnsi="宋体" w:cs="宋体"/>
                <w:snapToGrid w:val="0"/>
                <w:kern w:val="0"/>
                <w:szCs w:val="21"/>
              </w:rPr>
              <w:t>2、投标报价得分四舍五入后，小数点后保留两位有效数</w:t>
            </w:r>
            <w:r>
              <w:rPr>
                <w:rFonts w:hint="eastAsia" w:ascii="宋体" w:hAnsi="宋体" w:cs="宋体"/>
                <w:szCs w:val="21"/>
              </w:rPr>
              <w:t>。</w:t>
            </w:r>
          </w:p>
        </w:tc>
        <w:tc>
          <w:tcPr>
            <w:tcW w:w="1187" w:type="dxa"/>
            <w:vAlign w:val="center"/>
          </w:tcPr>
          <w:p w14:paraId="7C813416">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auto"/>
              <w:jc w:val="center"/>
              <w:rPr>
                <w:rFonts w:ascii="宋体" w:hAnsi="宋体" w:cs="宋体"/>
                <w:b/>
                <w:szCs w:val="21"/>
              </w:rPr>
            </w:pPr>
            <w:r>
              <w:rPr>
                <w:rFonts w:hint="eastAsia" w:ascii="宋体" w:hAnsi="宋体" w:cs="宋体"/>
                <w:b/>
                <w:szCs w:val="21"/>
              </w:rPr>
              <w:t>二、技术部分</w:t>
            </w:r>
          </w:p>
        </w:tc>
        <w:tc>
          <w:tcPr>
            <w:tcW w:w="1187" w:type="dxa"/>
            <w:vAlign w:val="center"/>
          </w:tcPr>
          <w:p w14:paraId="59C79198">
            <w:pPr>
              <w:autoSpaceDE w:val="0"/>
              <w:autoSpaceDN w:val="0"/>
              <w:adjustRightInd w:val="0"/>
              <w:spacing w:line="360" w:lineRule="auto"/>
              <w:jc w:val="center"/>
              <w:rPr>
                <w:rFonts w:ascii="宋体" w:hAnsi="宋体" w:cs="宋体"/>
                <w:b/>
                <w:szCs w:val="21"/>
              </w:rPr>
            </w:pPr>
            <w:r>
              <w:rPr>
                <w:rFonts w:hint="eastAsia" w:ascii="宋体" w:hAnsi="宋体" w:cs="宋体"/>
                <w:b/>
                <w:szCs w:val="21"/>
              </w:rPr>
              <w:t>63</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auto"/>
              <w:jc w:val="center"/>
              <w:rPr>
                <w:rFonts w:ascii="宋体" w:hAnsi="宋体" w:cs="宋体"/>
                <w:szCs w:val="21"/>
              </w:rPr>
            </w:pPr>
            <w:r>
              <w:rPr>
                <w:rFonts w:hint="eastAsia" w:ascii="宋体" w:hAnsi="宋体" w:cs="宋体"/>
                <w:szCs w:val="21"/>
              </w:rPr>
              <w:t>序号</w:t>
            </w:r>
          </w:p>
        </w:tc>
        <w:tc>
          <w:tcPr>
            <w:tcW w:w="1143" w:type="dxa"/>
            <w:vAlign w:val="center"/>
          </w:tcPr>
          <w:p w14:paraId="0DF48DA8">
            <w:pPr>
              <w:autoSpaceDE w:val="0"/>
              <w:autoSpaceDN w:val="0"/>
              <w:adjustRightInd w:val="0"/>
              <w:spacing w:line="360" w:lineRule="auto"/>
              <w:jc w:val="center"/>
              <w:rPr>
                <w:rFonts w:ascii="宋体" w:hAnsi="宋体" w:cs="宋体"/>
                <w:szCs w:val="21"/>
              </w:rPr>
            </w:pPr>
            <w:r>
              <w:rPr>
                <w:rFonts w:hint="eastAsia" w:ascii="宋体" w:hAnsi="宋体" w:cs="宋体"/>
                <w:szCs w:val="21"/>
              </w:rPr>
              <w:t>内容</w:t>
            </w:r>
          </w:p>
        </w:tc>
        <w:tc>
          <w:tcPr>
            <w:tcW w:w="709" w:type="dxa"/>
            <w:vAlign w:val="center"/>
          </w:tcPr>
          <w:p w14:paraId="0221EF29">
            <w:pPr>
              <w:autoSpaceDE w:val="0"/>
              <w:autoSpaceDN w:val="0"/>
              <w:adjustRightInd w:val="0"/>
              <w:spacing w:line="360" w:lineRule="auto"/>
              <w:jc w:val="center"/>
              <w:rPr>
                <w:rFonts w:ascii="宋体" w:hAnsi="宋体" w:cs="宋体"/>
                <w:szCs w:val="21"/>
              </w:rPr>
            </w:pPr>
            <w:r>
              <w:rPr>
                <w:rFonts w:hint="eastAsia" w:ascii="宋体" w:hAnsi="宋体" w:cs="宋体"/>
                <w:szCs w:val="21"/>
              </w:rPr>
              <w:t>权重</w:t>
            </w:r>
          </w:p>
        </w:tc>
        <w:tc>
          <w:tcPr>
            <w:tcW w:w="5953" w:type="dxa"/>
            <w:vAlign w:val="center"/>
          </w:tcPr>
          <w:p w14:paraId="4CB82A7D">
            <w:pPr>
              <w:autoSpaceDE w:val="0"/>
              <w:autoSpaceDN w:val="0"/>
              <w:adjustRightInd w:val="0"/>
              <w:spacing w:line="360" w:lineRule="auto"/>
              <w:jc w:val="center"/>
              <w:rPr>
                <w:rFonts w:ascii="宋体" w:hAnsi="宋体" w:cs="宋体"/>
                <w:szCs w:val="21"/>
              </w:rPr>
            </w:pPr>
            <w:r>
              <w:rPr>
                <w:rFonts w:hint="eastAsia" w:ascii="宋体" w:hAnsi="宋体" w:cs="宋体"/>
                <w:szCs w:val="21"/>
              </w:rPr>
              <w:t>评分规则</w:t>
            </w:r>
          </w:p>
        </w:tc>
        <w:tc>
          <w:tcPr>
            <w:tcW w:w="1187" w:type="dxa"/>
            <w:vAlign w:val="center"/>
          </w:tcPr>
          <w:p w14:paraId="584AB568">
            <w:pPr>
              <w:autoSpaceDE w:val="0"/>
              <w:autoSpaceDN w:val="0"/>
              <w:adjustRightInd w:val="0"/>
              <w:spacing w:line="360" w:lineRule="auto"/>
              <w:jc w:val="center"/>
              <w:rPr>
                <w:rFonts w:ascii="宋体" w:hAnsi="宋体" w:cs="宋体"/>
                <w:szCs w:val="21"/>
              </w:rPr>
            </w:pPr>
            <w:r>
              <w:rPr>
                <w:rFonts w:hint="eastAsia" w:ascii="宋体" w:hAnsi="宋体" w:cs="宋体"/>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1143" w:type="dxa"/>
            <w:vAlign w:val="center"/>
          </w:tcPr>
          <w:p w14:paraId="2E5A057B">
            <w:pPr>
              <w:spacing w:line="360" w:lineRule="auto"/>
              <w:jc w:val="center"/>
              <w:rPr>
                <w:rFonts w:ascii="宋体" w:hAnsi="宋体" w:cs="宋体"/>
                <w:kern w:val="0"/>
                <w:szCs w:val="21"/>
              </w:rPr>
            </w:pPr>
            <w:r>
              <w:rPr>
                <w:rFonts w:hint="eastAsia" w:ascii="宋体" w:hAnsi="宋体" w:cs="宋体"/>
                <w:kern w:val="0"/>
                <w:szCs w:val="21"/>
              </w:rPr>
              <w:t>实施方案</w:t>
            </w:r>
          </w:p>
        </w:tc>
        <w:tc>
          <w:tcPr>
            <w:tcW w:w="709" w:type="dxa"/>
            <w:vAlign w:val="center"/>
          </w:tcPr>
          <w:p w14:paraId="490D2051">
            <w:pPr>
              <w:spacing w:line="360" w:lineRule="auto"/>
              <w:jc w:val="center"/>
              <w:rPr>
                <w:rFonts w:ascii="宋体" w:hAnsi="宋体" w:cs="宋体"/>
                <w:kern w:val="0"/>
                <w:szCs w:val="21"/>
              </w:rPr>
            </w:pPr>
            <w:r>
              <w:rPr>
                <w:rFonts w:hint="eastAsia" w:ascii="宋体" w:hAnsi="宋体" w:cs="宋体"/>
                <w:kern w:val="0"/>
                <w:szCs w:val="21"/>
              </w:rPr>
              <w:t>12</w:t>
            </w:r>
          </w:p>
        </w:tc>
        <w:tc>
          <w:tcPr>
            <w:tcW w:w="5953" w:type="dxa"/>
            <w:vAlign w:val="center"/>
          </w:tcPr>
          <w:p w14:paraId="36D46260">
            <w:pPr>
              <w:pStyle w:val="94"/>
              <w:rPr>
                <w:rFonts w:ascii="宋体" w:hAnsi="宋体" w:cs="宋体"/>
                <w:szCs w:val="21"/>
              </w:rPr>
            </w:pPr>
            <w:r>
              <w:rPr>
                <w:rFonts w:hint="eastAsia" w:ascii="宋体" w:hAnsi="宋体" w:cs="宋体"/>
                <w:szCs w:val="21"/>
              </w:rPr>
              <w:t>（一）评分内容：</w:t>
            </w:r>
          </w:p>
          <w:p w14:paraId="75B7687E">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考察投标人提供的项目实施方案，包含以下内容：</w:t>
            </w:r>
          </w:p>
          <w:p w14:paraId="701802AF">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1.项目需求的认识与理解；</w:t>
            </w:r>
          </w:p>
          <w:p w14:paraId="776690E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2.项目建设思路；</w:t>
            </w:r>
          </w:p>
          <w:p w14:paraId="16AF5CF0">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3.各模块详细设计方案。</w:t>
            </w:r>
          </w:p>
          <w:p w14:paraId="6B7E9262">
            <w:pPr>
              <w:autoSpaceDE w:val="0"/>
              <w:autoSpaceDN w:val="0"/>
              <w:adjustRightInd w:val="0"/>
              <w:spacing w:line="360" w:lineRule="auto"/>
              <w:jc w:val="left"/>
              <w:rPr>
                <w:rFonts w:ascii="宋体" w:hAnsi="宋体" w:cs="宋体"/>
                <w:kern w:val="0"/>
                <w:szCs w:val="21"/>
              </w:rPr>
            </w:pPr>
          </w:p>
          <w:p w14:paraId="59E83DBD">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（二）评分标准：</w:t>
            </w:r>
          </w:p>
          <w:p w14:paraId="09F02249">
            <w:pPr>
              <w:pStyle w:val="94"/>
              <w:rPr>
                <w:rFonts w:ascii="宋体" w:hAnsi="宋体" w:cs="宋体"/>
                <w:szCs w:val="21"/>
              </w:rPr>
            </w:pPr>
            <w:r>
              <w:rPr>
                <w:rFonts w:hint="eastAsia" w:ascii="宋体" w:hAnsi="宋体" w:cs="宋体"/>
                <w:szCs w:val="21"/>
              </w:rPr>
              <w:t>方案包含以上三项内容得9分；包含以上二项内容得6分；包含以上一项内容得3分；其他情况不得分。在此基础上，根据方案响应情况进一步评审：</w:t>
            </w:r>
          </w:p>
          <w:p w14:paraId="246B00F4">
            <w:pPr>
              <w:pStyle w:val="94"/>
              <w:rPr>
                <w:rFonts w:ascii="宋体" w:hAnsi="宋体" w:cs="宋体"/>
                <w:szCs w:val="21"/>
              </w:rPr>
            </w:pPr>
            <w:r>
              <w:rPr>
                <w:rFonts w:hint="eastAsia" w:ascii="宋体" w:hAnsi="宋体" w:cs="宋体"/>
                <w:szCs w:val="21"/>
              </w:rPr>
              <w:t>（1）项目实施方案理解全面、科学合理、针对性强、可操作性强，加3分；</w:t>
            </w:r>
          </w:p>
          <w:p w14:paraId="564AB70E">
            <w:pPr>
              <w:pStyle w:val="94"/>
              <w:rPr>
                <w:rFonts w:ascii="宋体" w:hAnsi="宋体" w:cs="宋体"/>
                <w:szCs w:val="21"/>
              </w:rPr>
            </w:pPr>
            <w:r>
              <w:rPr>
                <w:rFonts w:hint="eastAsia" w:ascii="宋体" w:hAnsi="宋体" w:cs="宋体"/>
                <w:szCs w:val="21"/>
              </w:rPr>
              <w:t>（2）项目实施方案理解较为全面、较科学合理、针对性较强、可操作性较强，加2分；</w:t>
            </w:r>
          </w:p>
          <w:p w14:paraId="31B2258F">
            <w:pPr>
              <w:pStyle w:val="94"/>
              <w:rPr>
                <w:rFonts w:ascii="宋体" w:hAnsi="宋体" w:cs="宋体"/>
                <w:szCs w:val="21"/>
              </w:rPr>
            </w:pPr>
            <w:r>
              <w:rPr>
                <w:rFonts w:hint="eastAsia" w:ascii="宋体" w:hAnsi="宋体" w:cs="宋体"/>
                <w:szCs w:val="21"/>
              </w:rPr>
              <w:t>（3）项目实施方案理解一般，针对性和可操作性一般，加1分；</w:t>
            </w:r>
          </w:p>
          <w:p w14:paraId="59A56009">
            <w:pPr>
              <w:pStyle w:val="94"/>
              <w:rPr>
                <w:rFonts w:ascii="宋体" w:hAnsi="宋体" w:cs="宋体"/>
                <w:szCs w:val="21"/>
              </w:rPr>
            </w:pPr>
            <w:r>
              <w:rPr>
                <w:rFonts w:hint="eastAsia" w:ascii="宋体" w:hAnsi="宋体" w:cs="宋体"/>
                <w:szCs w:val="21"/>
              </w:rPr>
              <w:t>（4）项目实施方案理解不全面，没有抓住关键环节，方案没有针对性、专业性、可操作性，不加分。</w:t>
            </w:r>
          </w:p>
        </w:tc>
        <w:tc>
          <w:tcPr>
            <w:tcW w:w="1187" w:type="dxa"/>
            <w:vAlign w:val="center"/>
          </w:tcPr>
          <w:p w14:paraId="50F1958A">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2</w:t>
            </w:r>
          </w:p>
        </w:tc>
        <w:tc>
          <w:tcPr>
            <w:tcW w:w="1143" w:type="dxa"/>
            <w:vAlign w:val="center"/>
          </w:tcPr>
          <w:p w14:paraId="0E417498">
            <w:pPr>
              <w:spacing w:line="360" w:lineRule="auto"/>
              <w:jc w:val="center"/>
              <w:rPr>
                <w:rFonts w:ascii="宋体" w:hAnsi="宋体" w:cs="宋体"/>
                <w:kern w:val="0"/>
                <w:szCs w:val="21"/>
              </w:rPr>
            </w:pPr>
            <w:r>
              <w:rPr>
                <w:rFonts w:hint="eastAsia" w:ascii="宋体" w:hAnsi="宋体" w:cs="宋体"/>
                <w:szCs w:val="21"/>
              </w:rPr>
              <w:t>项目重点难点分析、应对措施及相关的合理化建议</w:t>
            </w:r>
          </w:p>
        </w:tc>
        <w:tc>
          <w:tcPr>
            <w:tcW w:w="709" w:type="dxa"/>
            <w:vAlign w:val="center"/>
          </w:tcPr>
          <w:p w14:paraId="74E131CA">
            <w:pPr>
              <w:spacing w:line="360" w:lineRule="auto"/>
              <w:jc w:val="center"/>
              <w:rPr>
                <w:rFonts w:ascii="宋体" w:hAnsi="宋体" w:cs="宋体"/>
                <w:kern w:val="0"/>
                <w:szCs w:val="21"/>
              </w:rPr>
            </w:pPr>
            <w:r>
              <w:rPr>
                <w:rFonts w:hint="eastAsia" w:ascii="宋体" w:hAnsi="宋体" w:cs="宋体"/>
                <w:szCs w:val="21"/>
              </w:rPr>
              <w:t>12</w:t>
            </w:r>
          </w:p>
        </w:tc>
        <w:tc>
          <w:tcPr>
            <w:tcW w:w="5953" w:type="dxa"/>
            <w:vAlign w:val="center"/>
          </w:tcPr>
          <w:p w14:paraId="3D8AFFE9">
            <w:pPr>
              <w:pStyle w:val="94"/>
              <w:rPr>
                <w:rFonts w:ascii="宋体" w:hAnsi="宋体" w:cs="宋体"/>
                <w:szCs w:val="21"/>
              </w:rPr>
            </w:pPr>
            <w:r>
              <w:rPr>
                <w:rFonts w:hint="eastAsia" w:ascii="宋体" w:hAnsi="宋体" w:cs="宋体"/>
                <w:szCs w:val="21"/>
              </w:rPr>
              <w:t>（一）评分内容：</w:t>
            </w:r>
          </w:p>
          <w:p w14:paraId="2A95B45E">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项目重点难点分析、应对措施及相关的合理化建议</w:t>
            </w:r>
            <w:r>
              <w:rPr>
                <w:rFonts w:hint="eastAsia" w:ascii="宋体" w:hAnsi="宋体" w:cs="宋体"/>
                <w:kern w:val="0"/>
                <w:szCs w:val="21"/>
              </w:rPr>
              <w:t>，包含以下内容：</w:t>
            </w:r>
          </w:p>
          <w:p w14:paraId="4FBD3A02">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1.项目重点、难点分析；</w:t>
            </w:r>
          </w:p>
          <w:p w14:paraId="70EE62B5">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2.应对措施；</w:t>
            </w:r>
          </w:p>
          <w:p w14:paraId="5924BDDC">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3.相关的合理化建议。</w:t>
            </w:r>
          </w:p>
          <w:p w14:paraId="219E34F5">
            <w:pPr>
              <w:snapToGrid w:val="0"/>
              <w:spacing w:line="360" w:lineRule="auto"/>
              <w:jc w:val="left"/>
              <w:rPr>
                <w:rFonts w:ascii="宋体" w:hAnsi="宋体" w:cs="宋体"/>
                <w:kern w:val="0"/>
                <w:szCs w:val="21"/>
              </w:rPr>
            </w:pPr>
          </w:p>
          <w:p w14:paraId="0A886C8A">
            <w:pPr>
              <w:snapToGrid w:val="0"/>
              <w:spacing w:line="360" w:lineRule="auto"/>
              <w:jc w:val="left"/>
              <w:rPr>
                <w:rFonts w:ascii="宋体" w:hAnsi="宋体" w:cs="宋体"/>
                <w:kern w:val="0"/>
                <w:szCs w:val="21"/>
              </w:rPr>
            </w:pPr>
            <w:r>
              <w:rPr>
                <w:rFonts w:hint="eastAsia" w:ascii="宋体" w:hAnsi="宋体" w:cs="宋体"/>
                <w:kern w:val="0"/>
                <w:szCs w:val="21"/>
              </w:rPr>
              <w:t>（二）评分标准：</w:t>
            </w:r>
          </w:p>
          <w:p w14:paraId="1C298CEE">
            <w:pPr>
              <w:pStyle w:val="94"/>
              <w:rPr>
                <w:rFonts w:ascii="宋体" w:hAnsi="宋体" w:cs="宋体"/>
                <w:szCs w:val="21"/>
              </w:rPr>
            </w:pPr>
            <w:r>
              <w:rPr>
                <w:rFonts w:hint="eastAsia" w:ascii="宋体" w:hAnsi="宋体" w:cs="宋体"/>
                <w:szCs w:val="21"/>
              </w:rPr>
              <w:t>方案包含以上三项内容得9分；包含以上二项内容得6分；包含以上一项内容得3分；其他情况不得分。在此基础上，根据方案响应情况进一步评审：</w:t>
            </w:r>
          </w:p>
          <w:p w14:paraId="5574E015">
            <w:pPr>
              <w:autoSpaceDE w:val="0"/>
              <w:autoSpaceDN w:val="0"/>
              <w:adjustRightInd w:val="0"/>
              <w:spacing w:line="360" w:lineRule="auto"/>
              <w:rPr>
                <w:rFonts w:ascii="宋体" w:hAnsi="宋体" w:cs="宋体"/>
                <w:szCs w:val="21"/>
              </w:rPr>
            </w:pPr>
            <w:r>
              <w:rPr>
                <w:rFonts w:hint="eastAsia" w:ascii="宋体" w:hAnsi="宋体" w:cs="宋体"/>
                <w:szCs w:val="21"/>
              </w:rPr>
              <w:t>（1）重点难点分析全面抓住了关键环节，解决方案针对性、专业性、操作性强，合理化建议切合实际的，加3分；</w:t>
            </w:r>
          </w:p>
          <w:p w14:paraId="29B4EB99">
            <w:pPr>
              <w:autoSpaceDE w:val="0"/>
              <w:autoSpaceDN w:val="0"/>
              <w:adjustRightInd w:val="0"/>
              <w:spacing w:line="360" w:lineRule="auto"/>
              <w:rPr>
                <w:rFonts w:ascii="宋体" w:hAnsi="宋体" w:cs="宋体"/>
                <w:szCs w:val="21"/>
              </w:rPr>
            </w:pPr>
            <w:r>
              <w:rPr>
                <w:rFonts w:hint="eastAsia" w:ascii="宋体" w:hAnsi="宋体" w:cs="宋体"/>
                <w:szCs w:val="21"/>
              </w:rPr>
              <w:t>（2）重点难点分析基本全面，关键环节分析比较准确，解决方案针对性、专业性、操作性较强，合理化建议比较符合实际的，加2分；</w:t>
            </w:r>
          </w:p>
          <w:p w14:paraId="386B1B3D">
            <w:pPr>
              <w:autoSpaceDE w:val="0"/>
              <w:autoSpaceDN w:val="0"/>
              <w:adjustRightInd w:val="0"/>
              <w:spacing w:line="360" w:lineRule="auto"/>
              <w:rPr>
                <w:rFonts w:ascii="宋体" w:hAnsi="宋体" w:cs="宋体"/>
                <w:szCs w:val="21"/>
              </w:rPr>
            </w:pPr>
            <w:r>
              <w:rPr>
                <w:rFonts w:hint="eastAsia" w:ascii="宋体" w:hAnsi="宋体" w:cs="宋体"/>
                <w:szCs w:val="21"/>
              </w:rPr>
              <w:t>（3）重点难点分析</w:t>
            </w:r>
            <w:bookmarkStart w:id="16" w:name="OLE_LINK57"/>
            <w:bookmarkStart w:id="17" w:name="OLE_LINK56"/>
            <w:r>
              <w:rPr>
                <w:rFonts w:hint="eastAsia" w:ascii="宋体" w:hAnsi="宋体" w:cs="宋体"/>
                <w:szCs w:val="21"/>
              </w:rPr>
              <w:t>不太全面，关键环节分析不够准确，解决方案针对性、专业性、操作性一般，合理化建议不够符合实际的，加1分；</w:t>
            </w:r>
            <w:bookmarkEnd w:id="16"/>
            <w:bookmarkEnd w:id="17"/>
          </w:p>
          <w:p w14:paraId="7D8486AB">
            <w:pPr>
              <w:autoSpaceDE w:val="0"/>
              <w:autoSpaceDN w:val="0"/>
              <w:adjustRightInd w:val="0"/>
              <w:spacing w:line="360" w:lineRule="auto"/>
              <w:rPr>
                <w:rFonts w:ascii="宋体" w:hAnsi="宋体" w:cs="宋体"/>
                <w:szCs w:val="21"/>
              </w:rPr>
            </w:pPr>
            <w:r>
              <w:rPr>
                <w:rFonts w:hint="eastAsia" w:ascii="宋体" w:hAnsi="宋体" w:cs="宋体"/>
                <w:szCs w:val="21"/>
              </w:rPr>
              <w:t>（4）重点难点分析不全面，没有抓住关键环节，解决方案没有针对性、专业性、可操作性，合理化建议不符合实际的，不加分。</w:t>
            </w:r>
          </w:p>
        </w:tc>
        <w:tc>
          <w:tcPr>
            <w:tcW w:w="1187" w:type="dxa"/>
            <w:vAlign w:val="center"/>
          </w:tcPr>
          <w:p w14:paraId="05A8D7C2">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1143" w:type="dxa"/>
            <w:vAlign w:val="center"/>
          </w:tcPr>
          <w:p w14:paraId="7D70D69D">
            <w:pPr>
              <w:spacing w:line="360" w:lineRule="auto"/>
              <w:jc w:val="center"/>
              <w:rPr>
                <w:rFonts w:ascii="宋体" w:hAnsi="宋体" w:cs="宋体"/>
                <w:kern w:val="0"/>
                <w:szCs w:val="21"/>
              </w:rPr>
            </w:pPr>
            <w:r>
              <w:rPr>
                <w:rFonts w:hint="eastAsia" w:ascii="宋体" w:hAnsi="宋体" w:cs="宋体"/>
                <w:szCs w:val="21"/>
              </w:rPr>
              <w:t>质量保障措施及方案</w:t>
            </w:r>
          </w:p>
        </w:tc>
        <w:tc>
          <w:tcPr>
            <w:tcW w:w="709" w:type="dxa"/>
            <w:vAlign w:val="center"/>
          </w:tcPr>
          <w:p w14:paraId="364828A2">
            <w:pPr>
              <w:spacing w:line="360" w:lineRule="auto"/>
              <w:jc w:val="center"/>
              <w:rPr>
                <w:rFonts w:ascii="宋体" w:hAnsi="宋体" w:cs="宋体"/>
                <w:kern w:val="0"/>
                <w:szCs w:val="21"/>
              </w:rPr>
            </w:pPr>
            <w:r>
              <w:rPr>
                <w:rFonts w:hint="eastAsia" w:ascii="宋体" w:hAnsi="宋体" w:cs="宋体"/>
                <w:kern w:val="0"/>
                <w:szCs w:val="21"/>
              </w:rPr>
              <w:t>12</w:t>
            </w:r>
          </w:p>
        </w:tc>
        <w:tc>
          <w:tcPr>
            <w:tcW w:w="5953" w:type="dxa"/>
            <w:vAlign w:val="center"/>
          </w:tcPr>
          <w:p w14:paraId="4EEAE5CF">
            <w:pPr>
              <w:pStyle w:val="94"/>
              <w:rPr>
                <w:rFonts w:ascii="宋体" w:hAnsi="宋体" w:cs="宋体"/>
                <w:szCs w:val="21"/>
              </w:rPr>
            </w:pPr>
            <w:r>
              <w:rPr>
                <w:rFonts w:hint="eastAsia" w:ascii="宋体" w:hAnsi="宋体" w:cs="宋体"/>
                <w:szCs w:val="21"/>
              </w:rPr>
              <w:t>（一）评分内容：</w:t>
            </w:r>
          </w:p>
          <w:p w14:paraId="492FC055">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考察投标人提供的</w:t>
            </w:r>
            <w:r>
              <w:rPr>
                <w:rFonts w:hint="eastAsia" w:ascii="宋体" w:hAnsi="宋体" w:cs="宋体"/>
                <w:szCs w:val="21"/>
              </w:rPr>
              <w:t>质量保障措施及方案</w:t>
            </w:r>
            <w:r>
              <w:rPr>
                <w:rFonts w:hint="eastAsia" w:ascii="宋体" w:hAnsi="宋体" w:cs="宋体"/>
                <w:kern w:val="0"/>
                <w:szCs w:val="21"/>
              </w:rPr>
              <w:t>，包含以下内容：</w:t>
            </w:r>
          </w:p>
          <w:p w14:paraId="73D83CBD">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1.完成时间保障措施及方案；</w:t>
            </w:r>
          </w:p>
          <w:p w14:paraId="2BA72273">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2.安全保障措施及方案；</w:t>
            </w:r>
          </w:p>
          <w:p w14:paraId="5547230C">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3.保密及知识产权保障措施及方案。</w:t>
            </w:r>
          </w:p>
          <w:p w14:paraId="2775E8D4">
            <w:pPr>
              <w:snapToGrid w:val="0"/>
              <w:spacing w:line="360" w:lineRule="auto"/>
              <w:jc w:val="left"/>
              <w:rPr>
                <w:rFonts w:ascii="宋体" w:hAnsi="宋体" w:cs="宋体"/>
                <w:kern w:val="0"/>
                <w:szCs w:val="21"/>
              </w:rPr>
            </w:pPr>
          </w:p>
          <w:p w14:paraId="23BD200E">
            <w:pPr>
              <w:snapToGrid w:val="0"/>
              <w:spacing w:line="360" w:lineRule="auto"/>
              <w:jc w:val="left"/>
              <w:rPr>
                <w:rFonts w:ascii="宋体" w:hAnsi="宋体" w:cs="宋体"/>
                <w:kern w:val="0"/>
                <w:szCs w:val="21"/>
              </w:rPr>
            </w:pPr>
            <w:r>
              <w:rPr>
                <w:rFonts w:hint="eastAsia" w:ascii="宋体" w:hAnsi="宋体" w:cs="宋体"/>
                <w:kern w:val="0"/>
                <w:szCs w:val="21"/>
              </w:rPr>
              <w:t>（二）评分标准：</w:t>
            </w:r>
          </w:p>
          <w:p w14:paraId="79053002">
            <w:pPr>
              <w:pStyle w:val="94"/>
              <w:rPr>
                <w:rFonts w:ascii="宋体" w:hAnsi="宋体" w:cs="宋体"/>
                <w:szCs w:val="21"/>
              </w:rPr>
            </w:pPr>
            <w:r>
              <w:rPr>
                <w:rFonts w:hint="eastAsia" w:ascii="宋体" w:hAnsi="宋体" w:cs="宋体"/>
                <w:szCs w:val="21"/>
              </w:rPr>
              <w:t>方案包含以上三项内容得9分；包含以上二项内容得6分；包含以上一项内容得3分；其他情况不得分。在此基础上，根据方案响应情况进一步评审：</w:t>
            </w:r>
          </w:p>
          <w:p w14:paraId="7C91A9A2">
            <w:pPr>
              <w:snapToGrid w:val="0"/>
              <w:spacing w:line="360" w:lineRule="auto"/>
              <w:jc w:val="left"/>
              <w:rPr>
                <w:rFonts w:ascii="宋体" w:hAnsi="宋体" w:cs="宋体"/>
                <w:szCs w:val="21"/>
              </w:rPr>
            </w:pPr>
            <w:r>
              <w:rPr>
                <w:rFonts w:hint="eastAsia" w:ascii="宋体" w:hAnsi="宋体" w:cs="宋体"/>
                <w:szCs w:val="21"/>
              </w:rPr>
              <w:t>（1）质量保障措施中体现完成时间、安全等各个方面，具有针对性，可操作性强，能够很好地保障项目质量的内容的，加3分；</w:t>
            </w:r>
          </w:p>
          <w:p w14:paraId="61643FE7">
            <w:pPr>
              <w:snapToGrid w:val="0"/>
              <w:spacing w:line="360" w:lineRule="auto"/>
              <w:jc w:val="left"/>
              <w:rPr>
                <w:rFonts w:ascii="宋体" w:hAnsi="宋体" w:cs="宋体"/>
                <w:szCs w:val="21"/>
              </w:rPr>
            </w:pPr>
            <w:r>
              <w:rPr>
                <w:rFonts w:hint="eastAsia" w:ascii="宋体" w:hAnsi="宋体" w:cs="宋体"/>
                <w:szCs w:val="21"/>
              </w:rPr>
              <w:t>（2）质量保障措施中体现质量保障的主要内容，针对性、可操作性较强，能够较好地保障项目质量的内容的，加2分；</w:t>
            </w:r>
          </w:p>
          <w:p w14:paraId="38921D5F">
            <w:pPr>
              <w:snapToGrid w:val="0"/>
              <w:spacing w:line="360" w:lineRule="auto"/>
              <w:jc w:val="left"/>
              <w:rPr>
                <w:rFonts w:ascii="宋体" w:hAnsi="宋体" w:cs="宋体"/>
                <w:szCs w:val="21"/>
              </w:rPr>
            </w:pPr>
            <w:r>
              <w:rPr>
                <w:rFonts w:hint="eastAsia" w:ascii="宋体" w:hAnsi="宋体" w:cs="宋体"/>
                <w:szCs w:val="21"/>
              </w:rPr>
              <w:t>（3）质量保障措施中体现基本能够保障项目质量的内容，针对性、可操作性一般的，加1分；</w:t>
            </w:r>
          </w:p>
          <w:p w14:paraId="245AF22E">
            <w:pPr>
              <w:snapToGrid w:val="0"/>
              <w:spacing w:line="360" w:lineRule="auto"/>
              <w:jc w:val="left"/>
              <w:rPr>
                <w:rFonts w:ascii="宋体" w:hAnsi="宋体" w:cs="宋体"/>
                <w:kern w:val="0"/>
                <w:szCs w:val="21"/>
              </w:rPr>
            </w:pPr>
            <w:r>
              <w:rPr>
                <w:rFonts w:hint="eastAsia" w:ascii="宋体" w:hAnsi="宋体" w:cs="宋体"/>
                <w:szCs w:val="21"/>
              </w:rPr>
              <w:t>（4）质量保障措施中未体现能够保障项目质量的内容，不具有针对性、可操作性的，不加分。</w:t>
            </w:r>
          </w:p>
        </w:tc>
        <w:tc>
          <w:tcPr>
            <w:tcW w:w="1187" w:type="dxa"/>
            <w:vAlign w:val="center"/>
          </w:tcPr>
          <w:p w14:paraId="7B7D9FBE">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54" w:type="dxa"/>
            <w:vAlign w:val="center"/>
          </w:tcPr>
          <w:p w14:paraId="3EC17A28">
            <w:pPr>
              <w:snapToGrid w:val="0"/>
              <w:spacing w:line="360" w:lineRule="auto"/>
              <w:jc w:val="center"/>
              <w:rPr>
                <w:rFonts w:ascii="宋体" w:hAnsi="宋体" w:cs="宋体"/>
                <w:kern w:val="0"/>
                <w:szCs w:val="21"/>
              </w:rPr>
            </w:pPr>
            <w:r>
              <w:rPr>
                <w:rFonts w:hint="eastAsia" w:ascii="宋体" w:hAnsi="宋体" w:cs="宋体"/>
                <w:kern w:val="0"/>
                <w:szCs w:val="21"/>
              </w:rPr>
              <w:t>4</w:t>
            </w:r>
          </w:p>
        </w:tc>
        <w:tc>
          <w:tcPr>
            <w:tcW w:w="1143" w:type="dxa"/>
            <w:vAlign w:val="center"/>
          </w:tcPr>
          <w:p w14:paraId="7D016B3C">
            <w:pPr>
              <w:spacing w:line="360" w:lineRule="auto"/>
              <w:jc w:val="center"/>
              <w:rPr>
                <w:rFonts w:ascii="宋体" w:hAnsi="宋体" w:cs="宋体"/>
                <w:szCs w:val="21"/>
              </w:rPr>
            </w:pPr>
            <w:r>
              <w:rPr>
                <w:rFonts w:hint="eastAsia" w:ascii="宋体" w:hAnsi="宋体" w:cs="宋体"/>
                <w:color w:val="000000"/>
                <w:kern w:val="0"/>
                <w:szCs w:val="21"/>
              </w:rPr>
              <w:t>拟安排的项目负责人(仅限1人）情况</w:t>
            </w:r>
          </w:p>
        </w:tc>
        <w:tc>
          <w:tcPr>
            <w:tcW w:w="709" w:type="dxa"/>
            <w:vAlign w:val="center"/>
          </w:tcPr>
          <w:p w14:paraId="359F1DD6">
            <w:pPr>
              <w:spacing w:line="360" w:lineRule="auto"/>
              <w:jc w:val="center"/>
              <w:rPr>
                <w:rFonts w:ascii="宋体" w:hAnsi="宋体" w:cs="宋体"/>
                <w:kern w:val="0"/>
                <w:szCs w:val="21"/>
              </w:rPr>
            </w:pPr>
            <w:r>
              <w:rPr>
                <w:rFonts w:hint="eastAsia" w:ascii="宋体" w:hAnsi="宋体" w:cs="宋体"/>
                <w:kern w:val="0"/>
                <w:szCs w:val="21"/>
              </w:rPr>
              <w:t>2</w:t>
            </w:r>
          </w:p>
        </w:tc>
        <w:tc>
          <w:tcPr>
            <w:tcW w:w="5953" w:type="dxa"/>
            <w:vAlign w:val="center"/>
          </w:tcPr>
          <w:p w14:paraId="152590FB">
            <w:pPr>
              <w:pStyle w:val="94"/>
              <w:rPr>
                <w:rFonts w:ascii="宋体" w:hAnsi="宋体" w:cs="宋体"/>
                <w:szCs w:val="21"/>
              </w:rPr>
            </w:pPr>
            <w:r>
              <w:rPr>
                <w:rFonts w:hint="eastAsia" w:ascii="宋体" w:hAnsi="宋体" w:cs="宋体"/>
                <w:szCs w:val="21"/>
              </w:rPr>
              <w:t>（一）评分内容：</w:t>
            </w:r>
          </w:p>
          <w:p w14:paraId="2EE9C301">
            <w:pPr>
              <w:pStyle w:val="94"/>
              <w:rPr>
                <w:rFonts w:ascii="宋体" w:hAnsi="宋体" w:cs="宋体"/>
                <w:szCs w:val="21"/>
              </w:rPr>
            </w:pPr>
            <w:r>
              <w:rPr>
                <w:rFonts w:hint="eastAsia" w:ascii="宋体" w:hAnsi="宋体" w:cs="宋体"/>
                <w:szCs w:val="21"/>
              </w:rPr>
              <w:t>拟安排的项目负责人</w:t>
            </w:r>
            <w:r>
              <w:rPr>
                <w:rFonts w:hint="eastAsia" w:ascii="宋体" w:hAnsi="宋体" w:cs="宋体"/>
                <w:color w:val="000000"/>
                <w:kern w:val="0"/>
                <w:szCs w:val="21"/>
              </w:rPr>
              <w:t>(仅限1人）</w:t>
            </w:r>
            <w:r>
              <w:rPr>
                <w:rFonts w:hint="eastAsia" w:ascii="宋体" w:hAnsi="宋体" w:cs="宋体"/>
                <w:szCs w:val="21"/>
              </w:rPr>
              <w:t>需为投标人</w:t>
            </w:r>
            <w:r>
              <w:rPr>
                <w:rFonts w:hint="eastAsia" w:ascii="宋体" w:hAnsi="宋体" w:cs="宋体"/>
                <w:color w:val="000000" w:themeColor="text1"/>
                <w:szCs w:val="21"/>
                <w14:textFill>
                  <w14:solidFill>
                    <w14:schemeClr w14:val="tx1"/>
                  </w14:solidFill>
                </w14:textFill>
              </w:rPr>
              <w:t>正式聘任</w:t>
            </w:r>
            <w:r>
              <w:rPr>
                <w:rFonts w:hint="eastAsia" w:ascii="宋体" w:hAnsi="宋体" w:cs="宋体"/>
                <w:szCs w:val="21"/>
              </w:rPr>
              <w:t>员工，否则本项不得分。在此基础上，按以下标准评分：</w:t>
            </w:r>
          </w:p>
          <w:p w14:paraId="2EC8F4D8">
            <w:pPr>
              <w:pStyle w:val="94"/>
              <w:rPr>
                <w:rFonts w:ascii="宋体" w:hAnsi="宋体" w:cs="宋体"/>
                <w:szCs w:val="21"/>
              </w:rPr>
            </w:pPr>
            <w:r>
              <w:rPr>
                <w:rFonts w:hint="eastAsia" w:ascii="宋体" w:hAnsi="宋体" w:cs="宋体"/>
                <w:szCs w:val="21"/>
              </w:rPr>
              <w:t>1.项目负责人具有</w:t>
            </w:r>
            <w:bookmarkStart w:id="18" w:name="OLE_LINK43"/>
            <w:bookmarkStart w:id="19" w:name="OLE_LINK42"/>
            <w:r>
              <w:rPr>
                <w:rFonts w:hint="eastAsia" w:ascii="宋体" w:hAnsi="宋体" w:cs="宋体"/>
                <w:szCs w:val="21"/>
              </w:rPr>
              <w:t>人力资源和社会保障部与工业和信息化部颁发的计算机技术与软件专业技术资格证书（专业：</w:t>
            </w:r>
            <w:bookmarkStart w:id="20" w:name="OLE_LINK44"/>
            <w:r>
              <w:rPr>
                <w:rFonts w:hint="eastAsia" w:ascii="宋体" w:hAnsi="宋体" w:cs="宋体"/>
                <w:szCs w:val="21"/>
              </w:rPr>
              <w:t>系统集成项目管理工程师</w:t>
            </w:r>
            <w:bookmarkEnd w:id="20"/>
            <w:r>
              <w:rPr>
                <w:rFonts w:hint="eastAsia" w:ascii="宋体" w:hAnsi="宋体" w:cs="宋体"/>
                <w:szCs w:val="21"/>
              </w:rPr>
              <w:t>）</w:t>
            </w:r>
            <w:bookmarkEnd w:id="18"/>
            <w:bookmarkEnd w:id="19"/>
            <w:r>
              <w:rPr>
                <w:rFonts w:hint="eastAsia" w:ascii="宋体" w:hAnsi="宋体" w:cs="宋体"/>
                <w:szCs w:val="21"/>
              </w:rPr>
              <w:t>，得2 分。</w:t>
            </w:r>
          </w:p>
          <w:p w14:paraId="236E4A77">
            <w:pPr>
              <w:autoSpaceDE w:val="0"/>
              <w:autoSpaceDN w:val="0"/>
              <w:adjustRightInd w:val="0"/>
              <w:spacing w:line="360" w:lineRule="auto"/>
              <w:rPr>
                <w:rFonts w:ascii="宋体" w:hAnsi="宋体" w:cs="宋体"/>
                <w:kern w:val="0"/>
                <w:szCs w:val="21"/>
              </w:rPr>
            </w:pPr>
          </w:p>
          <w:p w14:paraId="5BC2AC65">
            <w:pPr>
              <w:autoSpaceDE w:val="0"/>
              <w:autoSpaceDN w:val="0"/>
              <w:adjustRightInd w:val="0"/>
              <w:spacing w:line="360" w:lineRule="auto"/>
              <w:rPr>
                <w:rFonts w:ascii="宋体" w:hAnsi="宋体" w:cs="宋体"/>
                <w:kern w:val="0"/>
                <w:szCs w:val="21"/>
              </w:rPr>
            </w:pPr>
            <w:r>
              <w:rPr>
                <w:rFonts w:hint="eastAsia" w:ascii="宋体" w:hAnsi="宋体" w:cs="宋体"/>
                <w:kern w:val="0"/>
                <w:szCs w:val="21"/>
              </w:rPr>
              <w:t>（二）评分依据：</w:t>
            </w:r>
          </w:p>
          <w:p w14:paraId="457C32C4">
            <w:pPr>
              <w:pStyle w:val="94"/>
              <w:rPr>
                <w:rFonts w:ascii="宋体" w:hAnsi="宋体" w:cs="宋体"/>
                <w:szCs w:val="21"/>
              </w:rPr>
            </w:pPr>
            <w:r>
              <w:rPr>
                <w:rFonts w:hint="eastAsia" w:ascii="宋体" w:hAnsi="宋体" w:cs="宋体"/>
                <w:szCs w:val="21"/>
              </w:rPr>
              <w:t>1.提供项目负责人通过投标单位缴纳的载有社保部门或税务部门公章的近三个月（2025年10月-12月）的社保缴交证明材料【社保缴交证明须体现缴费单位名称，只体现代码的需同时提供其代码与缴费单位名称对应的证明材料（具体指系统查询证明或政府部门出具的证明），否则不予认可】。如开标日上一个月的社保材料因政府部门原因暂时无法取得，则可以往前顺延一个月；社保资料至少显示缴交养老保险信息，未显示该信息的该社保资料则不符合要求。如供应商为新成立企业且成立时间不足3个月的，可提供加盖公章的情况说明或其他相关证明材料视为符合。如依法不需要缴纳社会保险的，应提供相应文件证明。若为退休返聘人员，提供退休返聘证明；</w:t>
            </w:r>
          </w:p>
          <w:p w14:paraId="3531C108">
            <w:pPr>
              <w:pStyle w:val="94"/>
              <w:rPr>
                <w:rFonts w:ascii="宋体" w:hAnsi="宋体" w:cs="宋体"/>
                <w:szCs w:val="21"/>
              </w:rPr>
            </w:pPr>
            <w:r>
              <w:rPr>
                <w:rFonts w:hint="eastAsia" w:ascii="宋体" w:hAnsi="宋体" w:cs="宋体"/>
                <w:szCs w:val="21"/>
              </w:rPr>
              <w:t>2.提供项目负责人相关证书作为得分依据；</w:t>
            </w:r>
          </w:p>
          <w:p w14:paraId="1BBBA6DC">
            <w:pPr>
              <w:pStyle w:val="94"/>
              <w:rPr>
                <w:rFonts w:ascii="宋体" w:hAnsi="宋体" w:cs="宋体"/>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3731BA0">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snapToGrid w:val="0"/>
              <w:spacing w:line="360" w:lineRule="auto"/>
              <w:jc w:val="center"/>
              <w:rPr>
                <w:rFonts w:ascii="宋体" w:hAnsi="宋体" w:cs="宋体"/>
                <w:kern w:val="0"/>
                <w:szCs w:val="21"/>
              </w:rPr>
            </w:pPr>
            <w:r>
              <w:rPr>
                <w:rFonts w:hint="eastAsia" w:ascii="宋体" w:hAnsi="宋体" w:cs="宋体"/>
                <w:kern w:val="0"/>
                <w:szCs w:val="21"/>
              </w:rPr>
              <w:t>5</w:t>
            </w:r>
          </w:p>
        </w:tc>
        <w:tc>
          <w:tcPr>
            <w:tcW w:w="1143" w:type="dxa"/>
            <w:vAlign w:val="center"/>
          </w:tcPr>
          <w:p w14:paraId="3C768189">
            <w:pPr>
              <w:spacing w:line="360" w:lineRule="auto"/>
              <w:jc w:val="center"/>
              <w:rPr>
                <w:rFonts w:ascii="宋体" w:hAnsi="宋体" w:cs="宋体"/>
                <w:szCs w:val="21"/>
              </w:rPr>
            </w:pPr>
            <w:r>
              <w:rPr>
                <w:rFonts w:hint="eastAsia" w:ascii="宋体" w:hAnsi="宋体" w:cs="宋体"/>
                <w:szCs w:val="21"/>
              </w:rPr>
              <w:t>拟安排的项目团队成员（项目负责人除外）情况</w:t>
            </w:r>
          </w:p>
        </w:tc>
        <w:tc>
          <w:tcPr>
            <w:tcW w:w="709" w:type="dxa"/>
            <w:vAlign w:val="center"/>
          </w:tcPr>
          <w:p w14:paraId="6B643864">
            <w:pPr>
              <w:spacing w:line="360" w:lineRule="auto"/>
              <w:jc w:val="center"/>
              <w:rPr>
                <w:rFonts w:ascii="宋体" w:hAnsi="宋体" w:cs="宋体"/>
                <w:kern w:val="0"/>
                <w:szCs w:val="21"/>
              </w:rPr>
            </w:pPr>
            <w:r>
              <w:rPr>
                <w:rFonts w:hint="eastAsia" w:ascii="宋体" w:hAnsi="宋体" w:cs="宋体"/>
                <w:kern w:val="0"/>
                <w:szCs w:val="21"/>
              </w:rPr>
              <w:t>10</w:t>
            </w:r>
          </w:p>
        </w:tc>
        <w:tc>
          <w:tcPr>
            <w:tcW w:w="5953" w:type="dxa"/>
            <w:vAlign w:val="center"/>
          </w:tcPr>
          <w:p w14:paraId="072C949F">
            <w:pPr>
              <w:pStyle w:val="94"/>
              <w:rPr>
                <w:rFonts w:ascii="宋体" w:hAnsi="宋体" w:cs="宋体"/>
                <w:szCs w:val="21"/>
              </w:rPr>
            </w:pPr>
            <w:r>
              <w:rPr>
                <w:rFonts w:hint="eastAsia" w:ascii="宋体" w:hAnsi="宋体" w:cs="宋体"/>
                <w:szCs w:val="21"/>
              </w:rPr>
              <w:t>（一）评分内容：</w:t>
            </w:r>
          </w:p>
          <w:p w14:paraId="2E4857AD">
            <w:pPr>
              <w:spacing w:line="360" w:lineRule="auto"/>
              <w:rPr>
                <w:rFonts w:ascii="宋体" w:hAnsi="宋体" w:cs="宋体"/>
                <w:szCs w:val="21"/>
              </w:rPr>
            </w:pPr>
            <w:r>
              <w:rPr>
                <w:rFonts w:hint="eastAsia" w:ascii="宋体" w:hAnsi="宋体" w:cs="宋体"/>
                <w:szCs w:val="21"/>
              </w:rPr>
              <w:t>拟安排的项目团队成员（项目负责人除外）需为投标人</w:t>
            </w:r>
            <w:r>
              <w:rPr>
                <w:rFonts w:hint="eastAsia" w:ascii="宋体" w:hAnsi="宋体" w:cs="宋体"/>
                <w:color w:val="000000" w:themeColor="text1"/>
                <w:szCs w:val="21"/>
                <w14:textFill>
                  <w14:solidFill>
                    <w14:schemeClr w14:val="tx1"/>
                  </w14:solidFill>
                </w14:textFill>
              </w:rPr>
              <w:t>正式聘任</w:t>
            </w:r>
            <w:r>
              <w:rPr>
                <w:rFonts w:hint="eastAsia" w:ascii="宋体" w:hAnsi="宋体" w:cs="宋体"/>
                <w:szCs w:val="21"/>
              </w:rPr>
              <w:t>员工，否则本项不得分。在此基础上，每具有一项以下证书的得2.5分，每一项证书只计分一次，同一人取得的不同证书不重复计分，本评分项最高得10分。相关证书包括：</w:t>
            </w:r>
          </w:p>
          <w:p w14:paraId="2440DF4C">
            <w:pPr>
              <w:spacing w:line="360" w:lineRule="auto"/>
              <w:rPr>
                <w:rFonts w:ascii="宋体" w:hAnsi="宋体" w:cs="宋体"/>
                <w:szCs w:val="21"/>
              </w:rPr>
            </w:pPr>
            <w:r>
              <w:rPr>
                <w:rFonts w:hint="eastAsia" w:ascii="宋体" w:hAnsi="宋体" w:cs="宋体"/>
                <w:szCs w:val="21"/>
              </w:rPr>
              <w:t>1.工业和信息化部教育与考试中心颁发的软件设计师（高级）</w:t>
            </w:r>
            <w:r>
              <w:rPr>
                <w:rFonts w:hint="eastAsia"/>
              </w:rPr>
              <w:t>职业技术证书</w:t>
            </w:r>
            <w:r>
              <w:rPr>
                <w:rFonts w:hint="eastAsia" w:ascii="宋体" w:hAnsi="宋体" w:cs="宋体"/>
                <w:szCs w:val="21"/>
              </w:rPr>
              <w:t>；</w:t>
            </w:r>
          </w:p>
          <w:p w14:paraId="6973532D">
            <w:pPr>
              <w:spacing w:line="360" w:lineRule="auto"/>
              <w:rPr>
                <w:rFonts w:ascii="宋体" w:hAnsi="宋体" w:cs="宋体"/>
                <w:szCs w:val="21"/>
              </w:rPr>
            </w:pPr>
            <w:r>
              <w:rPr>
                <w:rFonts w:hint="eastAsia" w:ascii="宋体" w:hAnsi="宋体" w:cs="宋体"/>
                <w:szCs w:val="21"/>
              </w:rPr>
              <w:t>2.工业和信息化部教育与考试中心颁发的</w:t>
            </w:r>
            <w:bookmarkStart w:id="21" w:name="OLE_LINK9"/>
            <w:r>
              <w:rPr>
                <w:rFonts w:hint="eastAsia" w:ascii="宋体" w:hAnsi="宋体" w:cs="宋体"/>
                <w:szCs w:val="21"/>
              </w:rPr>
              <w:t>软件工程师（高级）</w:t>
            </w:r>
            <w:bookmarkEnd w:id="21"/>
            <w:r>
              <w:rPr>
                <w:rFonts w:hint="eastAsia"/>
              </w:rPr>
              <w:t>职业技术证书</w:t>
            </w:r>
            <w:r>
              <w:rPr>
                <w:rFonts w:hint="eastAsia" w:ascii="宋体" w:hAnsi="宋体" w:cs="宋体"/>
                <w:szCs w:val="21"/>
              </w:rPr>
              <w:t>；</w:t>
            </w:r>
          </w:p>
          <w:p w14:paraId="243D2098">
            <w:pPr>
              <w:spacing w:line="360" w:lineRule="auto"/>
              <w:rPr>
                <w:rFonts w:ascii="宋体" w:hAnsi="宋体" w:cs="宋体"/>
                <w:szCs w:val="21"/>
              </w:rPr>
            </w:pPr>
            <w:r>
              <w:rPr>
                <w:rFonts w:hint="eastAsia" w:ascii="宋体" w:hAnsi="宋体" w:cs="宋体"/>
                <w:szCs w:val="21"/>
              </w:rPr>
              <w:t>3.工业和信息化部教育与考试中心颁发的</w:t>
            </w:r>
            <w:bookmarkStart w:id="22" w:name="OLE_LINK10"/>
            <w:r>
              <w:rPr>
                <w:rFonts w:hint="eastAsia" w:ascii="宋体" w:hAnsi="宋体" w:cs="宋体"/>
                <w:szCs w:val="21"/>
              </w:rPr>
              <w:t>JAVA软件开发（高级）</w:t>
            </w:r>
            <w:bookmarkEnd w:id="22"/>
            <w:r>
              <w:rPr>
                <w:rFonts w:hint="eastAsia"/>
              </w:rPr>
              <w:t>职业技术证书</w:t>
            </w:r>
            <w:r>
              <w:rPr>
                <w:rFonts w:hint="eastAsia" w:ascii="宋体" w:hAnsi="宋体" w:cs="宋体"/>
                <w:szCs w:val="21"/>
              </w:rPr>
              <w:t>；</w:t>
            </w:r>
          </w:p>
          <w:p w14:paraId="2EEE801A">
            <w:pPr>
              <w:spacing w:line="360" w:lineRule="auto"/>
              <w:rPr>
                <w:rFonts w:ascii="宋体" w:hAnsi="宋体" w:cs="宋体"/>
                <w:szCs w:val="21"/>
              </w:rPr>
            </w:pPr>
            <w:r>
              <w:rPr>
                <w:rFonts w:hint="eastAsia" w:ascii="宋体" w:hAnsi="宋体" w:cs="宋体"/>
                <w:szCs w:val="21"/>
              </w:rPr>
              <w:t>4.工业和信息化部教育与考试中心颁发的软件测试技术（高级）</w:t>
            </w:r>
            <w:r>
              <w:rPr>
                <w:rFonts w:hint="eastAsia"/>
              </w:rPr>
              <w:t>职业技术证书</w:t>
            </w:r>
            <w:r>
              <w:rPr>
                <w:rFonts w:hint="eastAsia" w:ascii="宋体" w:hAnsi="宋体" w:cs="宋体"/>
                <w:szCs w:val="21"/>
              </w:rPr>
              <w:t>。</w:t>
            </w:r>
          </w:p>
          <w:p w14:paraId="1F18621E">
            <w:pPr>
              <w:autoSpaceDE w:val="0"/>
              <w:autoSpaceDN w:val="0"/>
              <w:adjustRightInd w:val="0"/>
              <w:spacing w:line="360" w:lineRule="auto"/>
              <w:jc w:val="left"/>
              <w:rPr>
                <w:rFonts w:ascii="宋体" w:hAnsi="宋体" w:cs="宋体"/>
                <w:kern w:val="0"/>
                <w:szCs w:val="21"/>
              </w:rPr>
            </w:pPr>
          </w:p>
          <w:p w14:paraId="6D5CD374">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1F6582CF">
            <w:pPr>
              <w:pStyle w:val="94"/>
              <w:rPr>
                <w:rFonts w:ascii="宋体" w:hAnsi="宋体" w:cs="宋体"/>
                <w:szCs w:val="21"/>
              </w:rPr>
            </w:pPr>
            <w:r>
              <w:rPr>
                <w:rFonts w:hint="eastAsia" w:ascii="宋体" w:hAnsi="宋体" w:cs="宋体"/>
                <w:szCs w:val="21"/>
              </w:rPr>
              <w:t>1.提供项目团队成员通过投标单位缴纳的载有社保部门或税务部门公章的近三个月（2025年10月-12月）的社保缴交证明材料【社保缴交证明须体现缴费单位名称，只体现代码的需同时提供其代码与缴费单位名称对应的证明材料（具体指系统查询证明或政府部门出具的证明），否则不予认可】。如开标日上一个月的社保材料因政府部门原因暂时无法取得，则可以往前顺延一个月；社保资料至少显示缴交养老保险信息，未显示该信息的该社保资料则不符合要求。如供应商为新成立企业且成立时间不足3个月的，可提供加盖公章的情况说明或其他相关证明材料视为符合。如依法不需要缴纳社会保险的，应提供相应文件证明。若为退休返聘人员，提供退休返聘证明；</w:t>
            </w:r>
          </w:p>
          <w:p w14:paraId="60D47924">
            <w:pPr>
              <w:pStyle w:val="94"/>
              <w:rPr>
                <w:rFonts w:ascii="宋体" w:hAnsi="宋体" w:cs="宋体"/>
                <w:szCs w:val="21"/>
              </w:rPr>
            </w:pPr>
            <w:r>
              <w:rPr>
                <w:rFonts w:hint="eastAsia" w:ascii="宋体" w:hAnsi="宋体" w:cs="宋体"/>
                <w:szCs w:val="21"/>
              </w:rPr>
              <w:t>2.提供项目团队成员相关证书作为得分依据；</w:t>
            </w:r>
          </w:p>
          <w:p w14:paraId="45A554B8">
            <w:pPr>
              <w:pStyle w:val="94"/>
              <w:rPr>
                <w:rFonts w:ascii="宋体" w:hAnsi="宋体" w:cs="宋体"/>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4E00C74">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621C3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1AEA31B9">
            <w:pPr>
              <w:snapToGrid w:val="0"/>
              <w:spacing w:line="360" w:lineRule="auto"/>
              <w:jc w:val="center"/>
              <w:rPr>
                <w:rFonts w:ascii="宋体" w:hAnsi="宋体" w:cs="宋体"/>
                <w:kern w:val="0"/>
                <w:szCs w:val="21"/>
              </w:rPr>
            </w:pPr>
            <w:r>
              <w:rPr>
                <w:rFonts w:hint="eastAsia" w:ascii="宋体" w:hAnsi="宋体" w:cs="宋体"/>
                <w:kern w:val="0"/>
                <w:szCs w:val="21"/>
              </w:rPr>
              <w:t>6</w:t>
            </w:r>
          </w:p>
        </w:tc>
        <w:tc>
          <w:tcPr>
            <w:tcW w:w="1143" w:type="dxa"/>
            <w:vAlign w:val="center"/>
          </w:tcPr>
          <w:p w14:paraId="72487554">
            <w:pPr>
              <w:spacing w:line="360" w:lineRule="auto"/>
              <w:jc w:val="center"/>
              <w:rPr>
                <w:rFonts w:ascii="宋体" w:hAnsi="宋体" w:cs="宋体"/>
                <w:szCs w:val="21"/>
              </w:rPr>
            </w:pPr>
            <w:r>
              <w:rPr>
                <w:rFonts w:hint="eastAsia" w:ascii="宋体" w:hAnsi="宋体" w:cs="宋体"/>
                <w:szCs w:val="21"/>
              </w:rPr>
              <w:t>现场演示</w:t>
            </w:r>
          </w:p>
        </w:tc>
        <w:tc>
          <w:tcPr>
            <w:tcW w:w="709" w:type="dxa"/>
            <w:vAlign w:val="center"/>
          </w:tcPr>
          <w:p w14:paraId="39D618A4">
            <w:pPr>
              <w:spacing w:line="360" w:lineRule="auto"/>
              <w:jc w:val="center"/>
              <w:rPr>
                <w:rFonts w:ascii="宋体" w:hAnsi="宋体" w:cs="宋体"/>
                <w:kern w:val="0"/>
                <w:szCs w:val="21"/>
              </w:rPr>
            </w:pPr>
            <w:r>
              <w:rPr>
                <w:rFonts w:hint="eastAsia" w:ascii="宋体" w:hAnsi="宋体" w:cs="宋体"/>
                <w:kern w:val="0"/>
                <w:szCs w:val="21"/>
              </w:rPr>
              <w:t>15</w:t>
            </w:r>
          </w:p>
        </w:tc>
        <w:tc>
          <w:tcPr>
            <w:tcW w:w="5953" w:type="dxa"/>
            <w:vAlign w:val="center"/>
          </w:tcPr>
          <w:p w14:paraId="025B0EC2">
            <w:pPr>
              <w:pStyle w:val="94"/>
              <w:rPr>
                <w:rFonts w:ascii="宋体" w:hAnsi="宋体" w:cs="宋体"/>
                <w:szCs w:val="21"/>
              </w:rPr>
            </w:pPr>
            <w:r>
              <w:rPr>
                <w:rFonts w:hint="eastAsia" w:ascii="宋体" w:hAnsi="宋体" w:cs="宋体"/>
                <w:szCs w:val="21"/>
              </w:rPr>
              <w:t>（一）评分内容：</w:t>
            </w:r>
          </w:p>
          <w:p w14:paraId="35501B0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投标人提供现场演示，内容如下：</w:t>
            </w:r>
          </w:p>
          <w:p w14:paraId="4F133775">
            <w:pPr>
              <w:autoSpaceDE w:val="0"/>
              <w:autoSpaceDN w:val="0"/>
              <w:adjustRightInd w:val="0"/>
              <w:spacing w:line="360" w:lineRule="auto"/>
              <w:jc w:val="left"/>
              <w:rPr>
                <w:rFonts w:ascii="宋体" w:hAnsi="宋体" w:cs="宋体"/>
                <w:kern w:val="0"/>
                <w:szCs w:val="21"/>
              </w:rPr>
            </w:pPr>
            <w:bookmarkStart w:id="23" w:name="OLE_LINK20"/>
            <w:r>
              <w:rPr>
                <w:rFonts w:hint="eastAsia" w:ascii="宋体" w:hAnsi="宋体" w:cs="宋体"/>
                <w:kern w:val="0"/>
                <w:szCs w:val="21"/>
              </w:rPr>
              <w:t>（一）</w:t>
            </w:r>
            <w:bookmarkEnd w:id="23"/>
            <w:r>
              <w:rPr>
                <w:rFonts w:hint="eastAsia" w:ascii="宋体" w:hAnsi="宋体" w:cs="宋体"/>
                <w:kern w:val="0"/>
                <w:szCs w:val="21"/>
              </w:rPr>
              <w:t>电脑端采购流程演示（10分）：</w:t>
            </w:r>
          </w:p>
          <w:p w14:paraId="68D614FD">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1）完整演示采购申请</w:t>
            </w:r>
            <w:bookmarkStart w:id="24" w:name="OLE_LINK19"/>
            <w:r>
              <w:rPr>
                <w:rFonts w:hint="eastAsia" w:ascii="宋体" w:hAnsi="宋体" w:cs="宋体"/>
                <w:kern w:val="0"/>
                <w:szCs w:val="21"/>
              </w:rPr>
              <w:t>流程，得2分</w:t>
            </w:r>
            <w:bookmarkEnd w:id="24"/>
            <w:r>
              <w:rPr>
                <w:rFonts w:hint="eastAsia" w:ascii="宋体" w:hAnsi="宋体" w:cs="宋体"/>
                <w:kern w:val="0"/>
                <w:szCs w:val="21"/>
              </w:rPr>
              <w:t>：</w:t>
            </w:r>
          </w:p>
          <w:p w14:paraId="70111A23">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演示流程：申请人填写采购申请单，选定预算费用来源并录入申请金额，批量导入采购明细；经相关领导审批通过后，系统自动扣减对应预算费用指标总金额（扣减金额为申请金额），同时增加已申请未报销金额（增加金额为申请金额）。</w:t>
            </w:r>
          </w:p>
          <w:p w14:paraId="365B5533">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2）完整演示合同审核流程，得2分：</w:t>
            </w:r>
          </w:p>
          <w:p w14:paraId="52C10A0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演示流程：申请人填写合同基本信息，关联对应采购单，完善签约方信息与付款计划，上传合同相关佐证文件；经相关领导审批通过后，合同状态更新为“审核通过”。</w:t>
            </w:r>
          </w:p>
          <w:p w14:paraId="4D248B1C">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3）合同审批时，同时支持 Word 文档在线编辑、修改痕迹留痕及历史版本追溯的，得2分；审批意见签批支持手写签名的，得2分；此项最高得4分。</w:t>
            </w:r>
          </w:p>
          <w:p w14:paraId="3B08D70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4）完整演示合同支付申请流程，得2分：</w:t>
            </w:r>
          </w:p>
          <w:p w14:paraId="53C3CA3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演示流程：申请人选定待支付合同，勾选满足的支付条件，录入支付金额与支付说明，上传支付相关附件；经相关领导审批通过后，系统自动扣减已申请未报销金额（扣减金额为支付金额），同时增加已使用金额（增加金额为本次支付金额）。</w:t>
            </w:r>
          </w:p>
          <w:p w14:paraId="12756D4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（二）移动端APP演示采购申请流程（5分）：</w:t>
            </w:r>
          </w:p>
          <w:p w14:paraId="72BF5AED">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1）移动端完整演示采购申请、合同审批、合同支付全流程的，得3分。</w:t>
            </w:r>
          </w:p>
          <w:p w14:paraId="5022482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移动端支持到件消息提醒功能：用户登录状态下，接收到新增待办消息时，移动端将自动以语音播报、横幅弹窗的形式触发即时提醒；待办消息的未读推送数量，将通过角标红点直观展示于APP图标右上角，得2分。</w:t>
            </w:r>
          </w:p>
          <w:p w14:paraId="60F67160">
            <w:pPr>
              <w:autoSpaceDE w:val="0"/>
              <w:autoSpaceDN w:val="0"/>
              <w:adjustRightInd w:val="0"/>
              <w:spacing w:line="360" w:lineRule="auto"/>
              <w:jc w:val="left"/>
              <w:rPr>
                <w:rFonts w:ascii="宋体" w:hAnsi="宋体" w:cs="宋体"/>
                <w:kern w:val="0"/>
                <w:szCs w:val="21"/>
              </w:rPr>
            </w:pPr>
          </w:p>
          <w:p w14:paraId="2BA6733A">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16FBE4EE">
            <w:pPr>
              <w:pStyle w:val="94"/>
              <w:rPr>
                <w:rFonts w:ascii="宋体" w:hAnsi="宋体" w:cs="宋体"/>
                <w:szCs w:val="21"/>
              </w:rPr>
            </w:pPr>
            <w:r>
              <w:rPr>
                <w:rFonts w:hint="eastAsia" w:ascii="宋体" w:hAnsi="宋体" w:cs="宋体"/>
                <w:szCs w:val="21"/>
              </w:rPr>
              <w:t>根据投标人现场演示内容进行评分，未提供现场演示或现场演示内容不满足要求的不得分。</w:t>
            </w:r>
          </w:p>
        </w:tc>
        <w:tc>
          <w:tcPr>
            <w:tcW w:w="1187" w:type="dxa"/>
            <w:vAlign w:val="center"/>
          </w:tcPr>
          <w:p w14:paraId="22CB3B32">
            <w:pPr>
              <w:spacing w:line="360" w:lineRule="auto"/>
              <w:jc w:val="center"/>
              <w:rPr>
                <w:rFonts w:ascii="宋体" w:hAnsi="宋体" w:cs="宋体"/>
                <w:szCs w:val="21"/>
              </w:rPr>
            </w:pPr>
            <w:r>
              <w:rPr>
                <w:rFonts w:hint="eastAsia" w:ascii="宋体" w:hAnsi="宋体" w:cs="宋体"/>
                <w:szCs w:val="21"/>
              </w:rPr>
              <w:t>评委</w:t>
            </w:r>
            <w:r>
              <w:rPr>
                <w:rFonts w:hint="eastAsia" w:ascii="宋体" w:hAnsi="宋体" w:cs="宋体"/>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auto"/>
              <w:jc w:val="center"/>
              <w:rPr>
                <w:rFonts w:ascii="宋体" w:hAnsi="宋体" w:cs="宋体"/>
                <w:b/>
                <w:szCs w:val="21"/>
              </w:rPr>
            </w:pPr>
            <w:r>
              <w:rPr>
                <w:rFonts w:hint="eastAsia" w:ascii="宋体" w:hAnsi="宋体" w:cs="宋体"/>
                <w:b/>
                <w:szCs w:val="21"/>
                <w:lang w:val="zh-CN"/>
              </w:rPr>
              <w:t>三、商务部分</w:t>
            </w:r>
          </w:p>
        </w:tc>
        <w:tc>
          <w:tcPr>
            <w:tcW w:w="1187" w:type="dxa"/>
            <w:vAlign w:val="center"/>
          </w:tcPr>
          <w:p w14:paraId="14D3C0E5">
            <w:pPr>
              <w:autoSpaceDE w:val="0"/>
              <w:autoSpaceDN w:val="0"/>
              <w:adjustRightInd w:val="0"/>
              <w:spacing w:line="360" w:lineRule="auto"/>
              <w:jc w:val="center"/>
              <w:rPr>
                <w:rFonts w:ascii="宋体" w:hAnsi="宋体" w:cs="宋体"/>
                <w:b/>
                <w:szCs w:val="21"/>
              </w:rPr>
            </w:pPr>
            <w:r>
              <w:rPr>
                <w:rFonts w:hint="eastAsia" w:ascii="宋体" w:hAnsi="宋体" w:cs="宋体"/>
                <w:b/>
                <w:szCs w:val="21"/>
              </w:rPr>
              <w:t>22</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序号</w:t>
            </w:r>
          </w:p>
        </w:tc>
        <w:tc>
          <w:tcPr>
            <w:tcW w:w="1143" w:type="dxa"/>
            <w:vAlign w:val="center"/>
          </w:tcPr>
          <w:p w14:paraId="7B9DB229">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内容</w:t>
            </w:r>
          </w:p>
        </w:tc>
        <w:tc>
          <w:tcPr>
            <w:tcW w:w="709" w:type="dxa"/>
            <w:vAlign w:val="center"/>
          </w:tcPr>
          <w:p w14:paraId="33881CED">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权重</w:t>
            </w:r>
          </w:p>
        </w:tc>
        <w:tc>
          <w:tcPr>
            <w:tcW w:w="5953" w:type="dxa"/>
            <w:vAlign w:val="center"/>
          </w:tcPr>
          <w:p w14:paraId="502F5952">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评分规则</w:t>
            </w:r>
          </w:p>
        </w:tc>
        <w:tc>
          <w:tcPr>
            <w:tcW w:w="1187" w:type="dxa"/>
            <w:vAlign w:val="center"/>
          </w:tcPr>
          <w:p w14:paraId="7E70A954">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评分方式</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1</w:t>
            </w:r>
          </w:p>
        </w:tc>
        <w:tc>
          <w:tcPr>
            <w:tcW w:w="1143" w:type="dxa"/>
            <w:vAlign w:val="center"/>
          </w:tcPr>
          <w:p w14:paraId="7EC82DDA">
            <w:pPr>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同类项目业绩</w:t>
            </w:r>
          </w:p>
        </w:tc>
        <w:tc>
          <w:tcPr>
            <w:tcW w:w="709" w:type="dxa"/>
            <w:vAlign w:val="center"/>
          </w:tcPr>
          <w:p w14:paraId="49BF8994">
            <w:pPr>
              <w:adjustRightInd w:val="0"/>
              <w:snapToGrid w:val="0"/>
              <w:spacing w:line="360" w:lineRule="auto"/>
              <w:jc w:val="center"/>
              <w:rPr>
                <w:rFonts w:ascii="宋体" w:hAnsi="宋体" w:cs="宋体"/>
                <w:snapToGrid w:val="0"/>
                <w:kern w:val="0"/>
                <w:szCs w:val="21"/>
              </w:rPr>
            </w:pPr>
            <w:r>
              <w:rPr>
                <w:rFonts w:hint="eastAsia" w:ascii="宋体" w:hAnsi="宋体" w:cs="宋体"/>
                <w:snapToGrid w:val="0"/>
                <w:kern w:val="0"/>
                <w:szCs w:val="21"/>
              </w:rPr>
              <w:t>9</w:t>
            </w:r>
          </w:p>
        </w:tc>
        <w:tc>
          <w:tcPr>
            <w:tcW w:w="5953" w:type="dxa"/>
            <w:vAlign w:val="center"/>
          </w:tcPr>
          <w:p w14:paraId="19DD340A">
            <w:pPr>
              <w:pStyle w:val="94"/>
              <w:rPr>
                <w:rFonts w:ascii="宋体" w:hAnsi="宋体" w:cs="宋体"/>
                <w:szCs w:val="21"/>
              </w:rPr>
            </w:pPr>
            <w:r>
              <w:rPr>
                <w:rFonts w:hint="eastAsia" w:ascii="宋体" w:hAnsi="宋体" w:cs="宋体"/>
                <w:szCs w:val="21"/>
              </w:rPr>
              <w:t>（一）评分内容：</w:t>
            </w:r>
          </w:p>
          <w:p w14:paraId="58DFDFB6">
            <w:pPr>
              <w:adjustRightInd w:val="0"/>
              <w:snapToGrid w:val="0"/>
              <w:spacing w:line="360" w:lineRule="auto"/>
              <w:rPr>
                <w:rFonts w:ascii="宋体" w:hAnsi="宋体" w:cs="宋体"/>
                <w:szCs w:val="21"/>
              </w:rPr>
            </w:pPr>
            <w:bookmarkStart w:id="25" w:name="OLE_LINK11"/>
            <w:r>
              <w:rPr>
                <w:rFonts w:hint="eastAsia" w:ascii="宋体" w:hAnsi="宋体" w:cs="宋体"/>
                <w:szCs w:val="21"/>
              </w:rPr>
              <w:t>2022年1月1日至本项目投标截止日（以合同签订日期为准），投标人具有学校信息化应用平台（或系统）软件类建设业绩（不含学校现有系统升级改造、日常运维类项目），每提供1个有效业绩得3分，最高得9分</w:t>
            </w:r>
            <w:bookmarkEnd w:id="25"/>
            <w:r>
              <w:rPr>
                <w:rFonts w:hint="eastAsia" w:ascii="宋体" w:hAnsi="宋体" w:cs="宋体"/>
                <w:szCs w:val="21"/>
              </w:rPr>
              <w:t>。</w:t>
            </w:r>
          </w:p>
          <w:p w14:paraId="04E269D9">
            <w:pPr>
              <w:autoSpaceDE w:val="0"/>
              <w:autoSpaceDN w:val="0"/>
              <w:adjustRightInd w:val="0"/>
              <w:spacing w:line="360" w:lineRule="auto"/>
              <w:jc w:val="left"/>
              <w:rPr>
                <w:rFonts w:ascii="宋体" w:hAnsi="宋体" w:cs="宋体"/>
                <w:kern w:val="0"/>
                <w:szCs w:val="21"/>
              </w:rPr>
            </w:pPr>
          </w:p>
          <w:p w14:paraId="77CBDDE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（二）评分依据：</w:t>
            </w:r>
          </w:p>
          <w:p w14:paraId="05497835">
            <w:pPr>
              <w:adjustRightInd w:val="0"/>
              <w:snapToGrid w:val="0"/>
              <w:spacing w:line="360" w:lineRule="auto"/>
              <w:rPr>
                <w:rFonts w:ascii="宋体" w:hAnsi="宋体" w:cs="宋体"/>
                <w:szCs w:val="21"/>
              </w:rPr>
            </w:pPr>
            <w:r>
              <w:rPr>
                <w:rFonts w:hint="eastAsia" w:ascii="宋体" w:hAnsi="宋体" w:cs="宋体"/>
                <w:szCs w:val="21"/>
              </w:rPr>
              <w:t>1.提供合同关键页（关键信息包括但不仅限于合同的项目名称、服务内容、合同签订日期、甲乙双方签字盖章页）</w:t>
            </w:r>
            <w:r>
              <w:rPr>
                <w:rFonts w:hint="eastAsia" w:ascii="宋体" w:hAnsi="宋体" w:cs="宋体"/>
                <w:bCs/>
                <w:szCs w:val="21"/>
              </w:rPr>
              <w:t>且提供的材料各项信息不得有任何遮挡</w:t>
            </w:r>
            <w:r>
              <w:rPr>
                <w:rFonts w:hint="eastAsia" w:ascii="宋体" w:hAnsi="宋体" w:cs="宋体"/>
                <w:szCs w:val="21"/>
              </w:rPr>
              <w:t>；</w:t>
            </w:r>
          </w:p>
          <w:p w14:paraId="021A937F">
            <w:pPr>
              <w:adjustRightInd w:val="0"/>
              <w:snapToGrid w:val="0"/>
              <w:spacing w:line="360" w:lineRule="auto"/>
              <w:rPr>
                <w:rFonts w:ascii="宋体" w:hAnsi="宋体" w:cs="宋体"/>
                <w:szCs w:val="21"/>
              </w:rPr>
            </w:pPr>
            <w:r>
              <w:rPr>
                <w:rFonts w:hint="eastAsia" w:ascii="宋体" w:hAnsi="宋体" w:cs="宋体"/>
                <w:szCs w:val="21"/>
              </w:rPr>
              <w:t>2.通过合同关键信息无法判断是否得分的，还需提供能证明得分的其它证明资料，如项目报告或合同甲方出具的证明文件；</w:t>
            </w:r>
          </w:p>
          <w:p w14:paraId="6AB9E457">
            <w:pPr>
              <w:adjustRightInd w:val="0"/>
              <w:snapToGrid w:val="0"/>
              <w:spacing w:line="360" w:lineRule="auto"/>
              <w:rPr>
                <w:rFonts w:ascii="宋体" w:hAnsi="宋体" w:cs="宋体"/>
                <w:b/>
                <w:bCs/>
                <w:kern w:val="0"/>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A173027">
            <w:pPr>
              <w:snapToGrid w:val="0"/>
              <w:spacing w:line="360" w:lineRule="auto"/>
              <w:jc w:val="center"/>
              <w:rPr>
                <w:rFonts w:ascii="宋体" w:hAnsi="宋体" w:cs="宋体"/>
                <w:kern w:val="0"/>
                <w:szCs w:val="21"/>
              </w:rPr>
            </w:pPr>
            <w:r>
              <w:rPr>
                <w:rFonts w:hint="eastAsia" w:ascii="宋体" w:hAnsi="宋体" w:cs="宋体"/>
                <w:kern w:val="0"/>
                <w:szCs w:val="21"/>
              </w:rPr>
              <w:t>2</w:t>
            </w:r>
          </w:p>
        </w:tc>
        <w:tc>
          <w:tcPr>
            <w:tcW w:w="1143" w:type="dxa"/>
            <w:vAlign w:val="center"/>
          </w:tcPr>
          <w:p w14:paraId="2AA58873">
            <w:pPr>
              <w:spacing w:line="360" w:lineRule="auto"/>
              <w:jc w:val="center"/>
              <w:rPr>
                <w:rFonts w:ascii="宋体" w:hAnsi="宋体" w:cs="宋体"/>
                <w:szCs w:val="21"/>
              </w:rPr>
            </w:pPr>
            <w:r>
              <w:rPr>
                <w:rFonts w:hint="eastAsia" w:ascii="宋体" w:hAnsi="宋体" w:cs="宋体"/>
                <w:szCs w:val="21"/>
              </w:rPr>
              <w:t>履约评价</w:t>
            </w:r>
          </w:p>
        </w:tc>
        <w:tc>
          <w:tcPr>
            <w:tcW w:w="709" w:type="dxa"/>
            <w:vAlign w:val="center"/>
          </w:tcPr>
          <w:p w14:paraId="03D227DE">
            <w:pPr>
              <w:spacing w:line="360" w:lineRule="auto"/>
              <w:jc w:val="center"/>
              <w:rPr>
                <w:rFonts w:ascii="宋体" w:hAnsi="宋体" w:cs="宋体"/>
                <w:szCs w:val="21"/>
              </w:rPr>
            </w:pPr>
            <w:r>
              <w:rPr>
                <w:rFonts w:hint="eastAsia" w:ascii="宋体" w:hAnsi="宋体" w:cs="宋体"/>
                <w:szCs w:val="21"/>
              </w:rPr>
              <w:t>3</w:t>
            </w:r>
          </w:p>
        </w:tc>
        <w:tc>
          <w:tcPr>
            <w:tcW w:w="5953" w:type="dxa"/>
            <w:vAlign w:val="center"/>
          </w:tcPr>
          <w:p w14:paraId="203CF8FD">
            <w:pPr>
              <w:pStyle w:val="94"/>
              <w:rPr>
                <w:rFonts w:ascii="宋体" w:hAnsi="宋体" w:cs="宋体"/>
                <w:szCs w:val="21"/>
              </w:rPr>
            </w:pPr>
            <w:r>
              <w:rPr>
                <w:rFonts w:hint="eastAsia" w:ascii="宋体" w:hAnsi="宋体" w:cs="宋体"/>
                <w:szCs w:val="21"/>
              </w:rPr>
              <w:t>（一）评分内容：</w:t>
            </w:r>
          </w:p>
          <w:p w14:paraId="6BA40D1E">
            <w:pPr>
              <w:spacing w:line="360" w:lineRule="auto"/>
              <w:rPr>
                <w:rFonts w:ascii="宋体" w:hAnsi="宋体" w:cs="宋体"/>
                <w:szCs w:val="21"/>
              </w:rPr>
            </w:pPr>
            <w:bookmarkStart w:id="26" w:name="OLE_LINK7"/>
            <w:bookmarkStart w:id="27" w:name="OLE_LINK12"/>
            <w:r>
              <w:rPr>
                <w:rFonts w:hint="eastAsia" w:ascii="宋体" w:hAnsi="宋体" w:cs="宋体"/>
                <w:szCs w:val="21"/>
              </w:rPr>
              <w:t>2022年1月1日至本项目投标截止日（以合同签订日期为准），</w:t>
            </w:r>
            <w:bookmarkEnd w:id="26"/>
            <w:r>
              <w:rPr>
                <w:rFonts w:hint="eastAsia" w:ascii="宋体" w:hAnsi="宋体" w:cs="宋体"/>
                <w:szCs w:val="21"/>
              </w:rPr>
              <w:t xml:space="preserve">投标人具有学校信息化应用平台（或系统）软件类升级改造或运维项目业绩，且该项目经用户单位考核评价结果为 “优” 或 “满意” </w:t>
            </w:r>
            <w:r>
              <w:rPr>
                <w:rFonts w:hint="eastAsia" w:ascii="宋体" w:hAnsi="宋体" w:cs="宋体"/>
                <w:bCs/>
                <w:szCs w:val="21"/>
              </w:rPr>
              <w:t>或</w:t>
            </w:r>
            <w:r>
              <w:rPr>
                <w:rFonts w:hint="eastAsia" w:ascii="宋体" w:hAnsi="宋体" w:cs="宋体"/>
                <w:szCs w:val="21"/>
              </w:rPr>
              <w:t>评价证明中最高等级的，每提一个项目得3分，本最高得3分。</w:t>
            </w:r>
            <w:bookmarkEnd w:id="27"/>
          </w:p>
          <w:p w14:paraId="58F03B24">
            <w:pPr>
              <w:spacing w:line="360" w:lineRule="auto"/>
              <w:rPr>
                <w:rFonts w:ascii="宋体" w:hAnsi="宋体" w:cs="宋体"/>
                <w:szCs w:val="21"/>
              </w:rPr>
            </w:pPr>
          </w:p>
          <w:p w14:paraId="5DA5F2A0">
            <w:pPr>
              <w:spacing w:line="360" w:lineRule="auto"/>
              <w:rPr>
                <w:rFonts w:ascii="宋体" w:hAnsi="宋体" w:cs="宋体"/>
                <w:szCs w:val="21"/>
              </w:rPr>
            </w:pPr>
            <w:r>
              <w:rPr>
                <w:rFonts w:hint="eastAsia" w:ascii="宋体" w:hAnsi="宋体" w:cs="宋体"/>
                <w:szCs w:val="21"/>
              </w:rPr>
              <w:t>（二）评分依据：</w:t>
            </w:r>
          </w:p>
          <w:p w14:paraId="3AE44888">
            <w:pPr>
              <w:spacing w:line="360" w:lineRule="auto"/>
              <w:rPr>
                <w:rFonts w:ascii="宋体" w:hAnsi="宋体" w:cs="宋体"/>
                <w:szCs w:val="21"/>
              </w:rPr>
            </w:pPr>
            <w:r>
              <w:rPr>
                <w:rFonts w:hint="eastAsia" w:ascii="宋体" w:hAnsi="宋体" w:cs="宋体"/>
                <w:szCs w:val="21"/>
              </w:rPr>
              <w:t>1.提供合同关键页（关键信息包括但不仅限于合同的项目名称、服务内容、合同签订日期、甲乙双方签字盖章页）</w:t>
            </w:r>
            <w:r>
              <w:rPr>
                <w:rFonts w:hint="eastAsia" w:ascii="宋体" w:hAnsi="宋体" w:cs="宋体"/>
                <w:bCs/>
                <w:szCs w:val="21"/>
              </w:rPr>
              <w:t>且提供的材料各项信息不得有任何遮挡</w:t>
            </w:r>
            <w:r>
              <w:rPr>
                <w:rFonts w:hint="eastAsia" w:ascii="宋体" w:hAnsi="宋体" w:cs="宋体"/>
                <w:szCs w:val="21"/>
              </w:rPr>
              <w:t>；</w:t>
            </w:r>
          </w:p>
          <w:p w14:paraId="182C28AC">
            <w:pPr>
              <w:spacing w:line="360" w:lineRule="auto"/>
              <w:rPr>
                <w:rFonts w:ascii="宋体" w:hAnsi="宋体" w:cs="宋体"/>
                <w:szCs w:val="21"/>
              </w:rPr>
            </w:pPr>
            <w:r>
              <w:rPr>
                <w:rFonts w:hint="eastAsia" w:ascii="宋体" w:hAnsi="宋体" w:cs="宋体"/>
                <w:szCs w:val="21"/>
              </w:rPr>
              <w:t>2.提供加盖合同甲方公章或甲方业务章的履约评价证明材料作为得分依据；</w:t>
            </w:r>
          </w:p>
          <w:p w14:paraId="3011F593">
            <w:pPr>
              <w:tabs>
                <w:tab w:val="left" w:pos="175"/>
              </w:tabs>
              <w:spacing w:line="360" w:lineRule="auto"/>
              <w:ind w:left="33"/>
              <w:jc w:val="left"/>
              <w:rPr>
                <w:rFonts w:ascii="宋体" w:hAnsi="宋体" w:cs="宋体"/>
                <w:szCs w:val="21"/>
              </w:rPr>
            </w:pPr>
            <w:r>
              <w:rPr>
                <w:rFonts w:hint="eastAsia" w:ascii="宋体" w:hAnsi="宋体" w:cs="宋体"/>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269CD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2D464BE">
            <w:pPr>
              <w:snapToGrid w:val="0"/>
              <w:spacing w:line="360" w:lineRule="auto"/>
              <w:jc w:val="center"/>
              <w:rPr>
                <w:rFonts w:ascii="宋体" w:hAnsi="宋体" w:cs="宋体"/>
                <w:kern w:val="0"/>
                <w:szCs w:val="21"/>
              </w:rPr>
            </w:pPr>
            <w:r>
              <w:rPr>
                <w:rFonts w:hint="eastAsia" w:ascii="宋体" w:hAnsi="宋体" w:cs="宋体"/>
                <w:kern w:val="0"/>
                <w:szCs w:val="21"/>
              </w:rPr>
              <w:t>3</w:t>
            </w:r>
          </w:p>
        </w:tc>
        <w:tc>
          <w:tcPr>
            <w:tcW w:w="1143" w:type="dxa"/>
            <w:vAlign w:val="center"/>
          </w:tcPr>
          <w:p w14:paraId="74B45285">
            <w:pPr>
              <w:spacing w:line="360" w:lineRule="auto"/>
              <w:jc w:val="center"/>
              <w:rPr>
                <w:rFonts w:ascii="宋体" w:hAnsi="宋体" w:cs="宋体"/>
                <w:szCs w:val="21"/>
              </w:rPr>
            </w:pPr>
            <w:r>
              <w:rPr>
                <w:rFonts w:hint="eastAsia" w:ascii="宋体" w:hAnsi="宋体" w:cs="宋体"/>
                <w:szCs w:val="21"/>
              </w:rPr>
              <w:t>服务网点</w:t>
            </w:r>
          </w:p>
        </w:tc>
        <w:tc>
          <w:tcPr>
            <w:tcW w:w="709" w:type="dxa"/>
            <w:vAlign w:val="center"/>
          </w:tcPr>
          <w:p w14:paraId="7CC986AC">
            <w:pPr>
              <w:spacing w:line="360" w:lineRule="auto"/>
              <w:jc w:val="center"/>
              <w:rPr>
                <w:rFonts w:ascii="宋体" w:hAnsi="宋体" w:cs="宋体"/>
                <w:szCs w:val="21"/>
              </w:rPr>
            </w:pPr>
            <w:r>
              <w:rPr>
                <w:rFonts w:hint="eastAsia" w:ascii="宋体" w:hAnsi="宋体" w:cs="宋体"/>
                <w:szCs w:val="21"/>
              </w:rPr>
              <w:t>5</w:t>
            </w:r>
          </w:p>
        </w:tc>
        <w:tc>
          <w:tcPr>
            <w:tcW w:w="5953" w:type="dxa"/>
            <w:vAlign w:val="center"/>
          </w:tcPr>
          <w:p w14:paraId="3B289DBC">
            <w:pPr>
              <w:tabs>
                <w:tab w:val="left" w:pos="175"/>
              </w:tabs>
              <w:spacing w:line="360" w:lineRule="auto"/>
              <w:ind w:left="33"/>
              <w:jc w:val="left"/>
              <w:rPr>
                <w:rFonts w:ascii="宋体" w:hAnsi="宋体" w:cs="宋体"/>
                <w:szCs w:val="21"/>
              </w:rPr>
            </w:pPr>
            <w:r>
              <w:rPr>
                <w:rFonts w:hint="eastAsia" w:ascii="宋体" w:hAnsi="宋体" w:cs="宋体"/>
                <w:szCs w:val="21"/>
              </w:rPr>
              <w:t>（一） 评分内容：</w:t>
            </w:r>
          </w:p>
          <w:p w14:paraId="785D8922">
            <w:pPr>
              <w:tabs>
                <w:tab w:val="left" w:pos="175"/>
              </w:tabs>
              <w:spacing w:line="360" w:lineRule="auto"/>
              <w:ind w:left="33"/>
              <w:jc w:val="left"/>
              <w:rPr>
                <w:rFonts w:ascii="宋体" w:hAnsi="宋体" w:cs="宋体"/>
                <w:szCs w:val="21"/>
              </w:rPr>
            </w:pPr>
            <w:r>
              <w:rPr>
                <w:rFonts w:hint="eastAsia" w:ascii="宋体" w:hAnsi="宋体" w:cs="宋体"/>
                <w:szCs w:val="21"/>
              </w:rPr>
              <w:t>投标人承诺中标后提供本地服务网点的，得5分。</w:t>
            </w:r>
          </w:p>
          <w:p w14:paraId="4721A004">
            <w:pPr>
              <w:tabs>
                <w:tab w:val="left" w:pos="175"/>
              </w:tabs>
              <w:spacing w:line="360" w:lineRule="auto"/>
              <w:ind w:left="33"/>
              <w:jc w:val="left"/>
              <w:rPr>
                <w:rFonts w:ascii="宋体" w:hAnsi="宋体" w:cs="宋体"/>
                <w:szCs w:val="21"/>
              </w:rPr>
            </w:pPr>
          </w:p>
          <w:p w14:paraId="216B3A1F">
            <w:pPr>
              <w:tabs>
                <w:tab w:val="left" w:pos="175"/>
              </w:tabs>
              <w:spacing w:line="360" w:lineRule="auto"/>
              <w:ind w:left="33"/>
              <w:jc w:val="left"/>
              <w:rPr>
                <w:rFonts w:ascii="宋体" w:hAnsi="宋体" w:cs="宋体"/>
                <w:szCs w:val="21"/>
              </w:rPr>
            </w:pPr>
            <w:r>
              <w:rPr>
                <w:rFonts w:hint="eastAsia" w:ascii="宋体" w:hAnsi="宋体" w:cs="宋体"/>
                <w:szCs w:val="21"/>
              </w:rPr>
              <w:t>（二）评分依据：</w:t>
            </w:r>
          </w:p>
          <w:p w14:paraId="1B82AC28">
            <w:pPr>
              <w:tabs>
                <w:tab w:val="left" w:pos="175"/>
              </w:tabs>
              <w:spacing w:line="360" w:lineRule="auto"/>
              <w:ind w:left="33"/>
              <w:jc w:val="left"/>
              <w:rPr>
                <w:rFonts w:ascii="宋体" w:hAnsi="宋体" w:cs="宋体"/>
                <w:szCs w:val="21"/>
              </w:rPr>
            </w:pPr>
            <w:r>
              <w:rPr>
                <w:rFonts w:hint="eastAsia" w:ascii="宋体" w:hAnsi="宋体" w:cs="宋体"/>
                <w:szCs w:val="21"/>
              </w:rPr>
              <w:t>提供承诺函（格式自拟），未提供承诺或承诺内容不满足要求不得分。</w:t>
            </w:r>
          </w:p>
        </w:tc>
        <w:tc>
          <w:tcPr>
            <w:tcW w:w="1187" w:type="dxa"/>
            <w:vAlign w:val="center"/>
          </w:tcPr>
          <w:p w14:paraId="68E432E5">
            <w:pPr>
              <w:spacing w:line="360" w:lineRule="auto"/>
              <w:jc w:val="center"/>
              <w:rPr>
                <w:rFonts w:ascii="宋体" w:hAnsi="宋体" w:cs="宋体"/>
                <w:szCs w:val="21"/>
              </w:rPr>
            </w:pPr>
            <w:r>
              <w:rPr>
                <w:rFonts w:hint="eastAsia" w:ascii="宋体" w:hAnsi="宋体" w:cs="宋体"/>
                <w:szCs w:val="21"/>
              </w:rPr>
              <w:t>评委</w:t>
            </w:r>
            <w:r>
              <w:rPr>
                <w:rFonts w:hint="eastAsia" w:ascii="宋体" w:hAnsi="宋体" w:cs="宋体"/>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4</w:t>
            </w:r>
          </w:p>
        </w:tc>
        <w:tc>
          <w:tcPr>
            <w:tcW w:w="1143" w:type="dxa"/>
            <w:vAlign w:val="center"/>
          </w:tcPr>
          <w:p w14:paraId="42B13F9C">
            <w:pPr>
              <w:spacing w:line="360" w:lineRule="auto"/>
              <w:jc w:val="center"/>
              <w:rPr>
                <w:rFonts w:ascii="宋体" w:hAnsi="宋体" w:cs="宋体"/>
                <w:szCs w:val="21"/>
              </w:rPr>
            </w:pPr>
            <w:r>
              <w:rPr>
                <w:rFonts w:hint="eastAsia" w:ascii="宋体" w:hAnsi="宋体" w:cs="宋体"/>
                <w:szCs w:val="21"/>
              </w:rPr>
              <w:t>诚信评审</w:t>
            </w:r>
          </w:p>
        </w:tc>
        <w:tc>
          <w:tcPr>
            <w:tcW w:w="709" w:type="dxa"/>
            <w:vAlign w:val="center"/>
          </w:tcPr>
          <w:p w14:paraId="6BAF4B7F">
            <w:pPr>
              <w:spacing w:line="360" w:lineRule="auto"/>
              <w:jc w:val="center"/>
              <w:rPr>
                <w:rFonts w:ascii="宋体" w:hAnsi="宋体" w:cs="宋体"/>
                <w:szCs w:val="21"/>
              </w:rPr>
            </w:pPr>
            <w:r>
              <w:rPr>
                <w:rFonts w:hint="eastAsia" w:ascii="宋体" w:hAnsi="宋体" w:cs="宋体"/>
                <w:szCs w:val="21"/>
              </w:rPr>
              <w:t>5</w:t>
            </w:r>
          </w:p>
        </w:tc>
        <w:tc>
          <w:tcPr>
            <w:tcW w:w="5953" w:type="dxa"/>
            <w:vAlign w:val="center"/>
          </w:tcPr>
          <w:p w14:paraId="06E64993">
            <w:pPr>
              <w:pStyle w:val="94"/>
              <w:rPr>
                <w:rFonts w:ascii="宋体" w:hAnsi="宋体" w:cs="宋体"/>
                <w:szCs w:val="21"/>
              </w:rPr>
            </w:pPr>
            <w:r>
              <w:rPr>
                <w:rFonts w:hint="eastAsia" w:ascii="宋体" w:hAnsi="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auto"/>
              <w:ind w:left="33"/>
              <w:jc w:val="left"/>
              <w:rPr>
                <w:rFonts w:ascii="宋体" w:hAnsi="宋体" w:cs="宋体"/>
                <w:szCs w:val="21"/>
              </w:rPr>
            </w:pPr>
            <w:r>
              <w:rPr>
                <w:rFonts w:hint="eastAsia" w:ascii="宋体" w:hAnsi="宋体" w:cs="宋体"/>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bl>
    <w:p w14:paraId="1A939292">
      <w:pPr>
        <w:pStyle w:val="4"/>
        <w:spacing w:before="0" w:after="0"/>
        <w:jc w:val="left"/>
        <w:rPr>
          <w:rFonts w:asciiTheme="minorEastAsia" w:hAnsiTheme="minorEastAsia"/>
          <w:bCs w:val="0"/>
          <w:sz w:val="21"/>
          <w:szCs w:val="21"/>
        </w:rPr>
      </w:pPr>
      <w:bookmarkStart w:id="28" w:name="_Toc44690430"/>
      <w:bookmarkStart w:id="29" w:name="_Toc135293165"/>
      <w:bookmarkStart w:id="30" w:name="_Toc44690703"/>
      <w:bookmarkStart w:id="31" w:name="_Toc44691162"/>
      <w:bookmarkStart w:id="32" w:name="_Toc44691394"/>
      <w:r>
        <w:rPr>
          <w:rFonts w:hint="eastAsia" w:asciiTheme="minorEastAsia" w:hAnsiTheme="minorEastAsia"/>
          <w:bCs w:val="0"/>
          <w:sz w:val="21"/>
          <w:szCs w:val="21"/>
        </w:rPr>
        <w:t>备注：</w:t>
      </w:r>
      <w:bookmarkEnd w:id="28"/>
      <w:bookmarkEnd w:id="29"/>
      <w:bookmarkEnd w:id="30"/>
      <w:bookmarkEnd w:id="31"/>
      <w:bookmarkEnd w:id="32"/>
      <w:r>
        <w:rPr>
          <w:rFonts w:hint="eastAsia" w:cs="仿宋" w:asciiTheme="minorEastAsia" w:hAnsiTheme="minorEastAsia"/>
          <w:sz w:val="21"/>
          <w:szCs w:val="21"/>
        </w:rPr>
        <w:t>评审得分=价格部分得分+技术部分得分+商务部分得分，最高100分。</w:t>
      </w:r>
    </w:p>
    <w:p w14:paraId="66EDEC43">
      <w:pPr>
        <w:pStyle w:val="3"/>
        <w:spacing w:before="0" w:after="0"/>
      </w:pPr>
      <w:bookmarkStart w:id="33" w:name="_Toc135293166"/>
      <w:r>
        <w:rPr>
          <w:rFonts w:hint="eastAsia"/>
        </w:rPr>
        <w:t>1、资质证书有效期</w:t>
      </w:r>
      <w:bookmarkEnd w:id="33"/>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34" w:name="_Toc135293167"/>
      <w:r>
        <w:rPr>
          <w:rFonts w:hint="eastAsia" w:asciiTheme="minorEastAsia" w:hAnsiTheme="minorEastAsia" w:eastAsiaTheme="minorEastAsia"/>
        </w:rPr>
        <w:t>2、政府采购扶持政策</w:t>
      </w:r>
      <w:bookmarkEnd w:id="34"/>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软件和信息技术服务业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spacing w:before="0" w:beforeAutospacing="0" w:after="0" w:afterAutospacing="0" w:line="360" w:lineRule="auto"/>
        <w:ind w:firstLine="420"/>
        <w:textAlignment w:val="baseline"/>
        <w:rPr>
          <w:rFonts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7A904998">
      <w:pPr>
        <w:pStyle w:val="45"/>
        <w:spacing w:before="0" w:beforeAutospacing="0" w:after="0" w:afterAutospacing="0" w:line="360" w:lineRule="auto"/>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60455042">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cs="宋体"/>
          <w:b/>
          <w:szCs w:val="21"/>
        </w:rPr>
        <w:t>（五）</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35" w:name="_Toc135293168"/>
      <w:r>
        <w:rPr>
          <w:rFonts w:hint="eastAsia"/>
        </w:rPr>
        <w:t>第五章  投标人须知前附表</w:t>
      </w:r>
      <w:bookmarkEnd w:id="35"/>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pPr>
            <w:r>
              <w:rPr>
                <w:rFonts w:hint="eastAsia"/>
              </w:rPr>
              <w:t>采购管理系统建设项目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Ansi="宋体"/>
                <w:szCs w:val="24"/>
              </w:rPr>
            </w:pPr>
            <w:r>
              <w:rPr>
                <w:rFonts w:hint="eastAsia" w:hAnsi="宋体"/>
                <w:snapToGrid w:val="0"/>
                <w:szCs w:val="21"/>
              </w:rPr>
              <w:t>深圳市第三职业技术学校</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Ansi="宋体"/>
              </w:rPr>
            </w:pPr>
            <w:r>
              <w:rPr>
                <w:rFonts w:hint="eastAsia" w:hAnsi="宋体"/>
              </w:rPr>
              <w:t>中标服务费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pPr>
      <w:bookmarkStart w:id="36" w:name="_Toc135293169"/>
    </w:p>
    <w:p w14:paraId="7406C36C">
      <w:pPr>
        <w:pStyle w:val="2"/>
      </w:pPr>
      <w:r>
        <w:rPr>
          <w:rFonts w:hint="eastAsia"/>
        </w:rPr>
        <w:t>第六章  投标人须知</w:t>
      </w:r>
      <w:bookmarkEnd w:id="36"/>
    </w:p>
    <w:p w14:paraId="2E5D3F6A">
      <w:pPr>
        <w:pStyle w:val="4"/>
        <w:spacing w:before="0" w:after="0"/>
      </w:pPr>
      <w:bookmarkStart w:id="37" w:name="_Toc135293170"/>
      <w:r>
        <w:rPr>
          <w:rFonts w:hint="eastAsia"/>
        </w:rPr>
        <w:t>一、说</w:t>
      </w:r>
      <w:r>
        <w:t xml:space="preserve">  </w:t>
      </w:r>
      <w:r>
        <w:rPr>
          <w:rFonts w:hint="eastAsia"/>
        </w:rPr>
        <w:t>明</w:t>
      </w:r>
      <w:bookmarkEnd w:id="37"/>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38" w:name="q5"/>
      <w:bookmarkEnd w:id="38"/>
    </w:p>
    <w:p w14:paraId="1C5B43CC">
      <w:pPr>
        <w:pStyle w:val="4"/>
        <w:spacing w:before="0" w:after="0"/>
      </w:pPr>
      <w:bookmarkStart w:id="39" w:name="_Toc135293171"/>
      <w:r>
        <w:rPr>
          <w:rFonts w:hint="eastAsia"/>
        </w:rPr>
        <w:t>二、招标文件说明</w:t>
      </w:r>
      <w:bookmarkEnd w:id="39"/>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40" w:name="q6"/>
      <w:bookmarkEnd w:id="40"/>
      <w:bookmarkStart w:id="41" w:name="_Toc135293172"/>
      <w:r>
        <w:rPr>
          <w:rFonts w:hint="eastAsia"/>
        </w:rPr>
        <w:t>三、投标文件的编写</w:t>
      </w:r>
      <w:bookmarkEnd w:id="41"/>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42" w:name="q7"/>
      <w:bookmarkEnd w:id="42"/>
      <w:bookmarkStart w:id="43" w:name="_Toc135293173"/>
      <w:r>
        <w:rPr>
          <w:rFonts w:hint="eastAsia"/>
        </w:rPr>
        <w:t>四、投标文件的递交</w:t>
      </w:r>
      <w:bookmarkEnd w:id="43"/>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44" w:name="_Hlt35050056"/>
      <w:bookmarkEnd w:id="44"/>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45" w:name="q8"/>
      <w:bookmarkEnd w:id="45"/>
      <w:bookmarkStart w:id="46" w:name="_Toc135293174"/>
      <w:r>
        <w:rPr>
          <w:rFonts w:hint="eastAsia"/>
        </w:rPr>
        <w:t>五、开标和评标</w:t>
      </w:r>
      <w:bookmarkEnd w:id="46"/>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47" w:name="q9"/>
      <w:bookmarkEnd w:id="47"/>
    </w:p>
    <w:p w14:paraId="44A988C9">
      <w:pPr>
        <w:pStyle w:val="4"/>
        <w:spacing w:before="0" w:after="0"/>
      </w:pPr>
      <w:bookmarkStart w:id="48" w:name="_Toc135293175"/>
      <w:r>
        <w:rPr>
          <w:rFonts w:hint="eastAsia"/>
        </w:rPr>
        <w:t>六、授予合同</w:t>
      </w:r>
      <w:bookmarkEnd w:id="48"/>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Q1T8h8wEAAPYDAAAOAAAAZHJzL2Uyb0RvYy54bWytU0uOEzEQ3SNx&#10;B8t70klQokkrnVlMGFggiMTAvmK705b8k8uTTs7CNVix4ThzDcruJhqGTRb0olV2lV/Ve35e356s&#10;YUcVUXvX8NlkyplywkvtDg3/+nD/5oYzTOAkGO9Uw88K+e3m9at1H2o19503UkVGIA7rPjS8SynU&#10;VYWiUxZw4oNylGx9tJBoGQ+VjNATujXVfDpdVr2PMkQvFCLtbockHxHjNYC+bbVQWy8erXJpQI3K&#10;QCJK2OmAfFOmbVsl0ue2RZWYaTgxTeVPTSje53+1WUN9iBA6LcYR4JoRXnCyoB01vUBtIQF7jPof&#10;KKtF9OjbNBHeVgORogixmE1faPOlg6AKF5Iaw0V0/H+w4tNxF5mWDadrd2Dpwp++/3j6+YstszZ9&#10;wJpK7twujisMu5iJntpoWWt0+EAm4iX6lqOcI1rsVDQ+XzRWp8QEbc7ms8XbFckvKLe6Wa2Wi9yo&#10;GhDz6RAxvVfeshw03GiXNYAajh8xDaV/SvK2cawnpMV8QZhAhmzJCBTaQKTQHcpZ9EbLe21MPoHx&#10;sL8zkR0hm6J84wh/leUmW8BuqCupXAZ1p0C+c5KlcyC5HL0SnkewSnJmFD2qHJXKBNpcU0nsjcvQ&#10;qlh25JnFH+TO0d7Lc7mFKq/IDkW00brZb8/XFD9/r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61hPdEAAAAIAQAADwAAAAAAAAABACAAAAAiAAAAZHJzL2Rvd25yZXYueG1sUEsBAhQAFAAAAAgA&#10;h07iQNDVPyHzAQAA9gMAAA4AAAAAAAAAAQAgAAAAIAEAAGRycy9lMm9Eb2MueG1sUEsFBgAAAAAG&#10;AAYAWQEAAIU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H3Y4/fzAQAA9g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mXDbzhzYOmHP37/8fjzF1tl&#10;b/qANZXcuV0cIwy7mIWe2mhZa3R4T0PEC/qWUc6RLHYqHp8vHqtTYoI2Z6vVbLkg+wXllqub14SJ&#10;uhoY8+kQMb1T3rIMGm60yx5ADccPmIbSPyV52zjWU/eL+YI4gQaypUEgaAOJQncoZ9EbLe+1MfkE&#10;xsP+zkR2hDwU5Rtb+KssX7IF7Ia6ksplUHcK5FsnWToHssvRK+G5BaskZ0bRo8qoVCbQ5ppKUm9c&#10;plZlZEed2fzB7oz2Xp7LX6hyRONQTBtHN8/b05jw0+e6+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fdjj9/MBAAD2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42aE1d0BAADXAwAADgAAAGRycy9lMm9Eb2MueG1srVNLbhsx&#10;DN0X6B0E7etxDLifgcdZxE03RWug7QFoieMRoB9ExWOfpdfoqpseJ9copXHSNN140VloKIp65Huk&#10;VtdHZ8UBE5ngO3k1m0uBXgVt/L6T377evnorBWXwGmzw2MkTkrxev3yxGmOLizAEqzEJBvHUjrGT&#10;Q86xbRpSAzqgWYjo+bAPyUHmbdo3OsHI6M42i/n8dTOGpGMKConYu5kO5RkxXQIY+t4o3AR159Dn&#10;CTWhhcyUaDCR5LpW2/eo8ue+J8zCdpKZ5rpyErZ3ZW3WK2j3CeJg1LkEuKSEZ5wcGM9JH6E2kEHc&#10;JfMPlDMqBQp9nqngmolIVYRZXM2fafNlgIiVC0tN8VF0+n+w6tNhm4TRnXwjhQfHDb///uP+5y+x&#10;LNqMkVoOufHbdN5R3KZC9NgnV/5MQRyrnqdHPfGYhZqc6sHb/LkSE+UPGJwoRiet8YUktHD4SJnT&#10;cOhDSHFbL8ZOvlsullIo4InrudNsushVk9/XuxSs0bfG2nKD0n53Y5M4QOl6/QoZxv0rrCTZAA1T&#10;XD2a5mFA0O+9FvkUWQ/Pz0CWEhxqKSzyqykWA0KbwdhLIjm19eUC1pk88yzqTnoWaxf0qcrclB33&#10;u1Z8ns0yUE/3bD99j+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5HTftUAAAAJAQAADwAAAAAA&#10;AAABACAAAAAiAAAAZHJzL2Rvd25yZXYueG1sUEsBAhQAFAAAAAgAh07iQONmhNXdAQAA1wMAAA4A&#10;AAAAAAAAAQAgAAAAJAEAAGRycy9lMm9Eb2MueG1sUEsFBgAAAAAGAAYAWQEAAHMF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49" w:name="_Toc135293176"/>
      <w:r>
        <w:rPr>
          <w:rFonts w:hint="eastAsia"/>
        </w:rPr>
        <w:t>七、质疑处理</w:t>
      </w:r>
      <w:bookmarkEnd w:id="49"/>
    </w:p>
    <w:p w14:paraId="754BDC90">
      <w:pPr>
        <w:spacing w:line="360" w:lineRule="auto"/>
        <w:rPr>
          <w:rFonts w:asciiTheme="majorEastAsia" w:hAnsiTheme="majorEastAsia" w:eastAsiaTheme="majorEastAsia"/>
          <w:b/>
          <w:bCs/>
          <w:szCs w:val="21"/>
        </w:rPr>
      </w:pPr>
      <w:bookmarkStart w:id="50"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51" w:name="_Hlk75374941"/>
      <w:r>
        <w:rPr>
          <w:rFonts w:hint="eastAsia" w:asciiTheme="majorEastAsia" w:hAnsiTheme="majorEastAsia" w:eastAsiaTheme="majorEastAsia"/>
          <w:szCs w:val="21"/>
        </w:rPr>
        <w:t>以联合体形式参与的，质疑应当由组成联合体的所有成员共同提出</w:t>
      </w:r>
      <w:bookmarkEnd w:id="51"/>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50"/>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52" w:name="_Toc135293177"/>
      <w:r>
        <w:rPr>
          <w:rFonts w:hint="eastAsia"/>
        </w:rPr>
        <w:t>第七章  投标文件格式</w:t>
      </w:r>
      <w:bookmarkEnd w:id="52"/>
    </w:p>
    <w:p w14:paraId="6A7BFB52">
      <w:pPr>
        <w:jc w:val="center"/>
        <w:rPr>
          <w:b/>
          <w:sz w:val="52"/>
          <w:szCs w:val="52"/>
        </w:rPr>
      </w:pPr>
    </w:p>
    <w:p w14:paraId="73393E35">
      <w:pPr>
        <w:pStyle w:val="4"/>
        <w:spacing w:line="400" w:lineRule="exact"/>
        <w:rPr>
          <w:rFonts w:ascii="仿宋" w:hAnsi="仿宋" w:eastAsia="仿宋"/>
        </w:rPr>
      </w:pPr>
      <w:bookmarkStart w:id="53" w:name="_Toc135293178"/>
      <w:bookmarkStart w:id="54" w:name="_Toc44690704"/>
      <w:bookmarkStart w:id="55" w:name="_Toc11772"/>
      <w:bookmarkStart w:id="56" w:name="_Toc44690431"/>
      <w:bookmarkStart w:id="57" w:name="_Toc44691163"/>
      <w:bookmarkStart w:id="58" w:name="_Toc14934"/>
      <w:bookmarkStart w:id="59" w:name="_Toc25194"/>
      <w:bookmarkStart w:id="60" w:name="_Toc31468"/>
      <w:bookmarkStart w:id="61" w:name="_Toc44691395"/>
      <w:r>
        <w:rPr>
          <w:rFonts w:hint="eastAsia" w:ascii="仿宋" w:hAnsi="仿宋" w:eastAsia="仿宋"/>
        </w:rPr>
        <w:t>投标文件编制说明</w:t>
      </w:r>
      <w:bookmarkEnd w:id="53"/>
      <w:bookmarkEnd w:id="54"/>
      <w:bookmarkEnd w:id="55"/>
      <w:bookmarkEnd w:id="56"/>
      <w:bookmarkEnd w:id="57"/>
      <w:bookmarkEnd w:id="58"/>
      <w:bookmarkEnd w:id="59"/>
      <w:bookmarkEnd w:id="60"/>
      <w:bookmarkEnd w:id="61"/>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62" w:name="_投标文件格式（第一册）"/>
      <w:bookmarkEnd w:id="62"/>
      <w:bookmarkStart w:id="63"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64"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64"/>
    </w:p>
    <w:bookmarkEnd w:id="63"/>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65" w:name="_格式1__投标人资格证明文件"/>
      <w:bookmarkEnd w:id="65"/>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66" w:name="_Toc135293180"/>
      <w:bookmarkStart w:id="67" w:name="_Toc73613640"/>
      <w:r>
        <w:rPr>
          <w:rFonts w:hint="eastAsia" w:ascii="仿宋" w:hAnsi="仿宋" w:eastAsia="仿宋"/>
        </w:rPr>
        <w:t>政府采购违法行为风险知悉确认书</w:t>
      </w:r>
      <w:bookmarkEnd w:id="66"/>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68" w:name="_Toc135293181"/>
      <w:r>
        <w:rPr>
          <w:rFonts w:hint="eastAsia" w:ascii="仿宋" w:hAnsi="仿宋" w:eastAsia="仿宋"/>
        </w:rPr>
        <w:t>评标指引表</w:t>
      </w:r>
      <w:bookmarkEnd w:id="67"/>
      <w:bookmarkEnd w:id="68"/>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69" w:name="_Toc135293182"/>
      <w:bookmarkStart w:id="70" w:name="_Toc44691164"/>
      <w:bookmarkStart w:id="71" w:name="_Toc44691396"/>
      <w:bookmarkStart w:id="72" w:name="_Toc44690705"/>
      <w:bookmarkStart w:id="73" w:name="_Toc4469043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ascii="仿宋" w:hAnsi="仿宋" w:eastAsia="仿宋"/>
        </w:rPr>
      </w:pPr>
    </w:p>
    <w:p w14:paraId="0DAC9DBC">
      <w:pPr>
        <w:pStyle w:val="4"/>
        <w:spacing w:line="400" w:lineRule="exact"/>
        <w:rPr>
          <w:rFonts w:ascii="仿宋" w:hAnsi="仿宋" w:eastAsia="仿宋"/>
        </w:rPr>
      </w:pPr>
      <w:r>
        <w:rPr>
          <w:rFonts w:hint="eastAsia" w:ascii="仿宋" w:hAnsi="仿宋" w:eastAsia="仿宋"/>
        </w:rPr>
        <w:t>供应商自查表</w:t>
      </w:r>
    </w:p>
    <w:p w14:paraId="7F47F2D5">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1703058D">
            <w:pPr>
              <w:spacing w:line="360" w:lineRule="exact"/>
              <w:jc w:val="center"/>
              <w:rPr>
                <w:rFonts w:ascii="宋体" w:hAnsi="宋体"/>
                <w:szCs w:val="21"/>
              </w:rPr>
            </w:pPr>
            <w:r>
              <w:rPr>
                <w:rFonts w:hint="eastAsia" w:ascii="宋体" w:hAnsi="宋体"/>
                <w:szCs w:val="21"/>
              </w:rPr>
              <w:t>序号</w:t>
            </w:r>
          </w:p>
        </w:tc>
        <w:tc>
          <w:tcPr>
            <w:tcW w:w="6023" w:type="dxa"/>
            <w:vAlign w:val="center"/>
          </w:tcPr>
          <w:p w14:paraId="50CFCB99">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39AD401C">
            <w:pPr>
              <w:spacing w:line="360" w:lineRule="exact"/>
              <w:jc w:val="center"/>
              <w:rPr>
                <w:rFonts w:ascii="宋体" w:hAnsi="宋体"/>
                <w:szCs w:val="21"/>
              </w:rPr>
            </w:pPr>
            <w:r>
              <w:rPr>
                <w:rFonts w:hint="eastAsia" w:ascii="宋体" w:hAnsi="宋体"/>
                <w:szCs w:val="21"/>
              </w:rPr>
              <w:t>自查情况</w:t>
            </w:r>
          </w:p>
          <w:p w14:paraId="6FB44AED">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98CEC79">
            <w:pPr>
              <w:spacing w:line="360" w:lineRule="exact"/>
              <w:jc w:val="center"/>
              <w:rPr>
                <w:rFonts w:ascii="宋体" w:hAnsi="宋体"/>
                <w:szCs w:val="21"/>
              </w:rPr>
            </w:pPr>
            <w:r>
              <w:rPr>
                <w:rFonts w:hint="eastAsia" w:ascii="宋体" w:hAnsi="宋体"/>
                <w:szCs w:val="21"/>
              </w:rPr>
              <w:t>1</w:t>
            </w:r>
          </w:p>
        </w:tc>
        <w:tc>
          <w:tcPr>
            <w:tcW w:w="6023" w:type="dxa"/>
            <w:vAlign w:val="center"/>
          </w:tcPr>
          <w:p w14:paraId="19CBAE41">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5E5FF7">
            <w:pPr>
              <w:spacing w:line="360" w:lineRule="exact"/>
              <w:jc w:val="center"/>
              <w:rPr>
                <w:rFonts w:ascii="宋体" w:hAnsi="宋体"/>
                <w:b/>
                <w:szCs w:val="21"/>
              </w:rPr>
            </w:pPr>
          </w:p>
        </w:tc>
        <w:tc>
          <w:tcPr>
            <w:tcW w:w="924" w:type="dxa"/>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F8032">
            <w:pPr>
              <w:spacing w:line="360" w:lineRule="exact"/>
              <w:jc w:val="center"/>
              <w:rPr>
                <w:rFonts w:ascii="宋体" w:hAnsi="宋体"/>
                <w:szCs w:val="21"/>
              </w:rPr>
            </w:pPr>
            <w:r>
              <w:rPr>
                <w:rFonts w:hint="eastAsia" w:ascii="宋体" w:hAnsi="宋体"/>
                <w:szCs w:val="21"/>
              </w:rPr>
              <w:t>2</w:t>
            </w:r>
          </w:p>
        </w:tc>
        <w:tc>
          <w:tcPr>
            <w:tcW w:w="6023" w:type="dxa"/>
            <w:vAlign w:val="center"/>
          </w:tcPr>
          <w:p w14:paraId="084F9E60">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B0DC002">
            <w:pPr>
              <w:spacing w:line="360" w:lineRule="exact"/>
              <w:jc w:val="center"/>
              <w:rPr>
                <w:rFonts w:ascii="宋体" w:hAnsi="宋体"/>
                <w:b/>
                <w:szCs w:val="21"/>
              </w:rPr>
            </w:pPr>
          </w:p>
        </w:tc>
        <w:tc>
          <w:tcPr>
            <w:tcW w:w="924" w:type="dxa"/>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7DEE6A8">
            <w:pPr>
              <w:spacing w:line="360" w:lineRule="exact"/>
              <w:jc w:val="center"/>
              <w:rPr>
                <w:rFonts w:ascii="宋体" w:hAnsi="宋体"/>
                <w:szCs w:val="21"/>
              </w:rPr>
            </w:pPr>
            <w:r>
              <w:rPr>
                <w:rFonts w:hint="eastAsia" w:ascii="宋体" w:hAnsi="宋体"/>
                <w:szCs w:val="21"/>
              </w:rPr>
              <w:t>3</w:t>
            </w:r>
          </w:p>
        </w:tc>
        <w:tc>
          <w:tcPr>
            <w:tcW w:w="6023" w:type="dxa"/>
            <w:vAlign w:val="center"/>
          </w:tcPr>
          <w:p w14:paraId="25D02EB4">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0CE9E4C">
            <w:pPr>
              <w:spacing w:line="360" w:lineRule="exact"/>
              <w:jc w:val="center"/>
              <w:rPr>
                <w:rFonts w:ascii="宋体" w:hAnsi="宋体"/>
                <w:b/>
                <w:szCs w:val="21"/>
              </w:rPr>
            </w:pPr>
          </w:p>
        </w:tc>
        <w:tc>
          <w:tcPr>
            <w:tcW w:w="924" w:type="dxa"/>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13F1282">
            <w:pPr>
              <w:spacing w:line="360" w:lineRule="exact"/>
              <w:jc w:val="center"/>
              <w:rPr>
                <w:rFonts w:ascii="宋体" w:hAnsi="宋体"/>
                <w:szCs w:val="21"/>
              </w:rPr>
            </w:pPr>
            <w:r>
              <w:rPr>
                <w:rFonts w:hint="eastAsia" w:ascii="宋体" w:hAnsi="宋体"/>
                <w:szCs w:val="21"/>
              </w:rPr>
              <w:t>4</w:t>
            </w:r>
          </w:p>
        </w:tc>
        <w:tc>
          <w:tcPr>
            <w:tcW w:w="6023" w:type="dxa"/>
            <w:vAlign w:val="center"/>
          </w:tcPr>
          <w:p w14:paraId="6CACEB33">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57689211">
            <w:pPr>
              <w:spacing w:line="360" w:lineRule="exact"/>
              <w:jc w:val="center"/>
              <w:rPr>
                <w:rFonts w:ascii="宋体" w:hAnsi="宋体"/>
                <w:b/>
                <w:szCs w:val="21"/>
              </w:rPr>
            </w:pPr>
          </w:p>
        </w:tc>
        <w:tc>
          <w:tcPr>
            <w:tcW w:w="924" w:type="dxa"/>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6B194B">
            <w:pPr>
              <w:spacing w:line="360" w:lineRule="exact"/>
              <w:jc w:val="center"/>
              <w:rPr>
                <w:rFonts w:ascii="宋体" w:hAnsi="宋体"/>
                <w:szCs w:val="21"/>
              </w:rPr>
            </w:pPr>
            <w:r>
              <w:rPr>
                <w:rFonts w:hint="eastAsia" w:ascii="宋体" w:hAnsi="宋体"/>
                <w:szCs w:val="21"/>
              </w:rPr>
              <w:t>5</w:t>
            </w:r>
          </w:p>
        </w:tc>
        <w:tc>
          <w:tcPr>
            <w:tcW w:w="6023" w:type="dxa"/>
            <w:vAlign w:val="center"/>
          </w:tcPr>
          <w:p w14:paraId="52E0852B">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211BAFD8">
            <w:pPr>
              <w:spacing w:line="360" w:lineRule="exact"/>
              <w:jc w:val="center"/>
              <w:rPr>
                <w:rFonts w:ascii="宋体" w:hAnsi="宋体"/>
                <w:b/>
                <w:szCs w:val="21"/>
              </w:rPr>
            </w:pPr>
          </w:p>
        </w:tc>
        <w:tc>
          <w:tcPr>
            <w:tcW w:w="924" w:type="dxa"/>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63778EE">
            <w:pPr>
              <w:spacing w:line="360" w:lineRule="exact"/>
              <w:jc w:val="center"/>
              <w:rPr>
                <w:rFonts w:ascii="宋体" w:hAnsi="宋体"/>
                <w:szCs w:val="21"/>
              </w:rPr>
            </w:pPr>
            <w:r>
              <w:rPr>
                <w:rFonts w:hint="eastAsia" w:ascii="宋体" w:hAnsi="宋体"/>
                <w:szCs w:val="21"/>
              </w:rPr>
              <w:t>6</w:t>
            </w:r>
          </w:p>
        </w:tc>
        <w:tc>
          <w:tcPr>
            <w:tcW w:w="6023" w:type="dxa"/>
            <w:vAlign w:val="center"/>
          </w:tcPr>
          <w:p w14:paraId="400C169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94F5620">
            <w:pPr>
              <w:spacing w:line="360" w:lineRule="exact"/>
              <w:jc w:val="center"/>
              <w:rPr>
                <w:rFonts w:ascii="宋体" w:hAnsi="宋体"/>
                <w:b/>
                <w:szCs w:val="21"/>
              </w:rPr>
            </w:pPr>
          </w:p>
        </w:tc>
        <w:tc>
          <w:tcPr>
            <w:tcW w:w="924" w:type="dxa"/>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EF755ED">
            <w:pPr>
              <w:spacing w:line="360" w:lineRule="exact"/>
              <w:jc w:val="center"/>
              <w:rPr>
                <w:rFonts w:ascii="宋体" w:hAnsi="宋体"/>
                <w:szCs w:val="21"/>
              </w:rPr>
            </w:pPr>
            <w:r>
              <w:rPr>
                <w:rFonts w:hint="eastAsia" w:ascii="宋体" w:hAnsi="宋体"/>
                <w:szCs w:val="21"/>
              </w:rPr>
              <w:t>7</w:t>
            </w:r>
          </w:p>
        </w:tc>
        <w:tc>
          <w:tcPr>
            <w:tcW w:w="6023" w:type="dxa"/>
            <w:vAlign w:val="center"/>
          </w:tcPr>
          <w:p w14:paraId="7FA69194">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B18B763">
            <w:pPr>
              <w:spacing w:line="360" w:lineRule="exact"/>
              <w:jc w:val="center"/>
              <w:rPr>
                <w:rFonts w:ascii="宋体" w:hAnsi="宋体"/>
                <w:b/>
                <w:szCs w:val="21"/>
              </w:rPr>
            </w:pPr>
          </w:p>
        </w:tc>
        <w:tc>
          <w:tcPr>
            <w:tcW w:w="924" w:type="dxa"/>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F8B63CB">
            <w:pPr>
              <w:spacing w:line="360" w:lineRule="exact"/>
              <w:jc w:val="center"/>
              <w:rPr>
                <w:rFonts w:ascii="宋体" w:hAnsi="宋体"/>
                <w:szCs w:val="21"/>
              </w:rPr>
            </w:pPr>
            <w:r>
              <w:rPr>
                <w:rFonts w:hint="eastAsia" w:ascii="宋体" w:hAnsi="宋体"/>
                <w:szCs w:val="21"/>
              </w:rPr>
              <w:t>8</w:t>
            </w:r>
          </w:p>
        </w:tc>
        <w:tc>
          <w:tcPr>
            <w:tcW w:w="6023" w:type="dxa"/>
            <w:vAlign w:val="center"/>
          </w:tcPr>
          <w:p w14:paraId="4788799C">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475013D8">
            <w:pPr>
              <w:spacing w:line="360" w:lineRule="exact"/>
              <w:jc w:val="center"/>
              <w:rPr>
                <w:rFonts w:ascii="宋体" w:hAnsi="宋体"/>
                <w:b/>
                <w:szCs w:val="21"/>
              </w:rPr>
            </w:pPr>
          </w:p>
        </w:tc>
        <w:tc>
          <w:tcPr>
            <w:tcW w:w="924" w:type="dxa"/>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211E3C8">
            <w:pPr>
              <w:spacing w:line="360" w:lineRule="exact"/>
              <w:jc w:val="center"/>
              <w:rPr>
                <w:rFonts w:ascii="宋体" w:hAnsi="宋体"/>
                <w:szCs w:val="21"/>
              </w:rPr>
            </w:pPr>
            <w:r>
              <w:rPr>
                <w:rFonts w:hint="eastAsia" w:ascii="宋体" w:hAnsi="宋体"/>
                <w:szCs w:val="21"/>
              </w:rPr>
              <w:t>9</w:t>
            </w:r>
          </w:p>
        </w:tc>
        <w:tc>
          <w:tcPr>
            <w:tcW w:w="6023" w:type="dxa"/>
            <w:vAlign w:val="center"/>
          </w:tcPr>
          <w:p w14:paraId="6A9B132A">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45613EA5">
            <w:pPr>
              <w:spacing w:line="360" w:lineRule="exact"/>
              <w:jc w:val="center"/>
              <w:rPr>
                <w:rFonts w:ascii="宋体" w:hAnsi="宋体"/>
                <w:b/>
                <w:szCs w:val="21"/>
              </w:rPr>
            </w:pPr>
          </w:p>
        </w:tc>
        <w:tc>
          <w:tcPr>
            <w:tcW w:w="924" w:type="dxa"/>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0EE7E6">
            <w:pPr>
              <w:spacing w:line="360" w:lineRule="exact"/>
              <w:jc w:val="center"/>
              <w:rPr>
                <w:rFonts w:ascii="宋体" w:hAnsi="宋体"/>
                <w:szCs w:val="21"/>
              </w:rPr>
            </w:pPr>
            <w:r>
              <w:rPr>
                <w:rFonts w:hint="eastAsia" w:ascii="宋体" w:hAnsi="宋体"/>
                <w:szCs w:val="21"/>
              </w:rPr>
              <w:t>10</w:t>
            </w:r>
          </w:p>
        </w:tc>
        <w:tc>
          <w:tcPr>
            <w:tcW w:w="6023" w:type="dxa"/>
            <w:vAlign w:val="center"/>
          </w:tcPr>
          <w:p w14:paraId="6C0398AD">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AA4E48C">
            <w:pPr>
              <w:spacing w:line="360" w:lineRule="exact"/>
              <w:jc w:val="center"/>
              <w:rPr>
                <w:rFonts w:ascii="宋体" w:hAnsi="宋体"/>
                <w:b/>
                <w:szCs w:val="21"/>
              </w:rPr>
            </w:pPr>
          </w:p>
        </w:tc>
        <w:tc>
          <w:tcPr>
            <w:tcW w:w="924" w:type="dxa"/>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10DC9B">
            <w:pPr>
              <w:spacing w:line="360" w:lineRule="exact"/>
              <w:jc w:val="center"/>
              <w:rPr>
                <w:rFonts w:ascii="宋体" w:hAnsi="宋体"/>
                <w:szCs w:val="21"/>
              </w:rPr>
            </w:pPr>
            <w:r>
              <w:rPr>
                <w:rFonts w:hint="eastAsia" w:ascii="宋体" w:hAnsi="宋体"/>
                <w:szCs w:val="21"/>
              </w:rPr>
              <w:t>11</w:t>
            </w:r>
          </w:p>
        </w:tc>
        <w:tc>
          <w:tcPr>
            <w:tcW w:w="6023" w:type="dxa"/>
            <w:vAlign w:val="center"/>
          </w:tcPr>
          <w:p w14:paraId="36005607">
            <w:pPr>
              <w:jc w:val="left"/>
              <w:rPr>
                <w:rFonts w:ascii="宋体" w:hAnsi="宋体" w:cs="宋体"/>
                <w:szCs w:val="21"/>
              </w:rPr>
            </w:pPr>
            <w:r>
              <w:rPr>
                <w:rFonts w:hint="eastAsia" w:ascii="宋体" w:hAnsi="宋体"/>
                <w:szCs w:val="21"/>
              </w:rPr>
              <w:t>投标人之间约定中标人。</w:t>
            </w:r>
          </w:p>
        </w:tc>
        <w:tc>
          <w:tcPr>
            <w:tcW w:w="2921" w:type="dxa"/>
            <w:vAlign w:val="center"/>
          </w:tcPr>
          <w:p w14:paraId="57E6C6CD">
            <w:pPr>
              <w:spacing w:line="360" w:lineRule="exact"/>
              <w:jc w:val="center"/>
              <w:rPr>
                <w:rFonts w:ascii="宋体" w:hAnsi="宋体"/>
                <w:b/>
                <w:szCs w:val="21"/>
              </w:rPr>
            </w:pPr>
          </w:p>
        </w:tc>
        <w:tc>
          <w:tcPr>
            <w:tcW w:w="924" w:type="dxa"/>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D6D5745">
            <w:pPr>
              <w:spacing w:line="360" w:lineRule="exact"/>
              <w:jc w:val="center"/>
              <w:rPr>
                <w:rFonts w:ascii="宋体" w:hAnsi="宋体"/>
                <w:szCs w:val="21"/>
              </w:rPr>
            </w:pPr>
            <w:r>
              <w:rPr>
                <w:rFonts w:hint="eastAsia" w:ascii="宋体" w:hAnsi="宋体"/>
                <w:szCs w:val="21"/>
              </w:rPr>
              <w:t>12</w:t>
            </w:r>
          </w:p>
        </w:tc>
        <w:tc>
          <w:tcPr>
            <w:tcW w:w="6023" w:type="dxa"/>
            <w:vAlign w:val="center"/>
          </w:tcPr>
          <w:p w14:paraId="176885B5">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2920990">
            <w:pPr>
              <w:spacing w:line="360" w:lineRule="exact"/>
              <w:jc w:val="center"/>
              <w:rPr>
                <w:rFonts w:ascii="宋体" w:hAnsi="宋体"/>
                <w:b/>
                <w:szCs w:val="21"/>
              </w:rPr>
            </w:pPr>
          </w:p>
        </w:tc>
        <w:tc>
          <w:tcPr>
            <w:tcW w:w="924" w:type="dxa"/>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CC2570">
            <w:pPr>
              <w:spacing w:line="360" w:lineRule="exact"/>
              <w:jc w:val="center"/>
              <w:rPr>
                <w:rFonts w:ascii="宋体" w:hAnsi="宋体"/>
                <w:szCs w:val="21"/>
              </w:rPr>
            </w:pPr>
            <w:r>
              <w:rPr>
                <w:rFonts w:hint="eastAsia" w:ascii="宋体" w:hAnsi="宋体"/>
                <w:szCs w:val="21"/>
              </w:rPr>
              <w:t>13</w:t>
            </w:r>
          </w:p>
        </w:tc>
        <w:tc>
          <w:tcPr>
            <w:tcW w:w="6023" w:type="dxa"/>
            <w:vAlign w:val="center"/>
          </w:tcPr>
          <w:p w14:paraId="447EDCA3">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769AAB">
            <w:pPr>
              <w:spacing w:line="360" w:lineRule="exact"/>
              <w:jc w:val="center"/>
              <w:rPr>
                <w:rFonts w:ascii="宋体" w:hAnsi="宋体"/>
                <w:b/>
                <w:szCs w:val="21"/>
              </w:rPr>
            </w:pPr>
          </w:p>
        </w:tc>
        <w:tc>
          <w:tcPr>
            <w:tcW w:w="924" w:type="dxa"/>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4044D9">
            <w:pPr>
              <w:spacing w:line="360" w:lineRule="exact"/>
              <w:jc w:val="center"/>
              <w:rPr>
                <w:rFonts w:ascii="宋体" w:hAnsi="宋体"/>
                <w:szCs w:val="21"/>
              </w:rPr>
            </w:pPr>
            <w:r>
              <w:rPr>
                <w:rFonts w:hint="eastAsia" w:ascii="宋体" w:hAnsi="宋体"/>
                <w:szCs w:val="21"/>
              </w:rPr>
              <w:t>14</w:t>
            </w:r>
          </w:p>
        </w:tc>
        <w:tc>
          <w:tcPr>
            <w:tcW w:w="6023" w:type="dxa"/>
            <w:vAlign w:val="center"/>
          </w:tcPr>
          <w:p w14:paraId="1B73D6D1">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C57C23A">
            <w:pPr>
              <w:spacing w:line="360" w:lineRule="exact"/>
              <w:jc w:val="center"/>
              <w:rPr>
                <w:rFonts w:ascii="宋体" w:hAnsi="宋体"/>
                <w:b/>
                <w:szCs w:val="21"/>
              </w:rPr>
            </w:pPr>
          </w:p>
        </w:tc>
        <w:tc>
          <w:tcPr>
            <w:tcW w:w="924" w:type="dxa"/>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40A8ECF">
            <w:pPr>
              <w:spacing w:line="360" w:lineRule="exact"/>
              <w:jc w:val="center"/>
              <w:rPr>
                <w:rFonts w:ascii="宋体" w:hAnsi="宋体"/>
                <w:szCs w:val="21"/>
              </w:rPr>
            </w:pPr>
            <w:r>
              <w:rPr>
                <w:rFonts w:hint="eastAsia" w:ascii="宋体" w:hAnsi="宋体"/>
                <w:szCs w:val="21"/>
              </w:rPr>
              <w:t>15</w:t>
            </w:r>
          </w:p>
        </w:tc>
        <w:tc>
          <w:tcPr>
            <w:tcW w:w="6023" w:type="dxa"/>
            <w:vAlign w:val="center"/>
          </w:tcPr>
          <w:p w14:paraId="22EDA543">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993F918">
            <w:pPr>
              <w:spacing w:line="360" w:lineRule="exact"/>
              <w:jc w:val="center"/>
              <w:rPr>
                <w:rFonts w:ascii="宋体" w:hAnsi="宋体"/>
                <w:b/>
                <w:szCs w:val="21"/>
              </w:rPr>
            </w:pPr>
          </w:p>
        </w:tc>
        <w:tc>
          <w:tcPr>
            <w:tcW w:w="924" w:type="dxa"/>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AABF1D9">
            <w:pPr>
              <w:spacing w:line="360" w:lineRule="exact"/>
              <w:jc w:val="center"/>
              <w:rPr>
                <w:rFonts w:ascii="宋体" w:hAnsi="宋体"/>
                <w:szCs w:val="21"/>
              </w:rPr>
            </w:pPr>
            <w:r>
              <w:rPr>
                <w:rFonts w:hint="eastAsia" w:ascii="宋体" w:hAnsi="宋体"/>
                <w:szCs w:val="21"/>
              </w:rPr>
              <w:t>16</w:t>
            </w:r>
          </w:p>
        </w:tc>
        <w:tc>
          <w:tcPr>
            <w:tcW w:w="6023" w:type="dxa"/>
            <w:vAlign w:val="center"/>
          </w:tcPr>
          <w:p w14:paraId="213375E7">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E9CDB5">
            <w:pPr>
              <w:spacing w:line="360" w:lineRule="exact"/>
              <w:jc w:val="center"/>
              <w:rPr>
                <w:rFonts w:ascii="宋体" w:hAnsi="宋体"/>
                <w:b/>
                <w:szCs w:val="21"/>
              </w:rPr>
            </w:pPr>
          </w:p>
        </w:tc>
        <w:tc>
          <w:tcPr>
            <w:tcW w:w="924" w:type="dxa"/>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C3F5369">
            <w:pPr>
              <w:spacing w:line="360" w:lineRule="exact"/>
              <w:jc w:val="center"/>
              <w:rPr>
                <w:rFonts w:ascii="宋体" w:hAnsi="宋体"/>
                <w:szCs w:val="21"/>
              </w:rPr>
            </w:pPr>
            <w:r>
              <w:rPr>
                <w:rFonts w:hint="eastAsia" w:ascii="宋体" w:hAnsi="宋体"/>
                <w:szCs w:val="21"/>
              </w:rPr>
              <w:t>17</w:t>
            </w:r>
          </w:p>
        </w:tc>
        <w:tc>
          <w:tcPr>
            <w:tcW w:w="6023" w:type="dxa"/>
            <w:vAlign w:val="center"/>
          </w:tcPr>
          <w:p w14:paraId="0E0191DC">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6DCBF9F">
            <w:pPr>
              <w:spacing w:line="360" w:lineRule="exact"/>
              <w:jc w:val="center"/>
              <w:rPr>
                <w:rFonts w:ascii="宋体" w:hAnsi="宋体"/>
                <w:b/>
                <w:szCs w:val="21"/>
              </w:rPr>
            </w:pPr>
          </w:p>
        </w:tc>
        <w:tc>
          <w:tcPr>
            <w:tcW w:w="924" w:type="dxa"/>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0926A33">
            <w:pPr>
              <w:spacing w:line="360" w:lineRule="exact"/>
              <w:jc w:val="center"/>
              <w:rPr>
                <w:rFonts w:ascii="宋体" w:hAnsi="宋体"/>
                <w:szCs w:val="21"/>
              </w:rPr>
            </w:pPr>
            <w:r>
              <w:rPr>
                <w:rFonts w:hint="eastAsia" w:ascii="宋体" w:hAnsi="宋体"/>
                <w:szCs w:val="21"/>
              </w:rPr>
              <w:t>18</w:t>
            </w:r>
          </w:p>
        </w:tc>
        <w:tc>
          <w:tcPr>
            <w:tcW w:w="6023" w:type="dxa"/>
            <w:vAlign w:val="center"/>
          </w:tcPr>
          <w:p w14:paraId="33C2119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3072616C">
            <w:pPr>
              <w:spacing w:line="360" w:lineRule="exact"/>
              <w:jc w:val="center"/>
              <w:rPr>
                <w:rFonts w:ascii="宋体" w:hAnsi="宋体"/>
                <w:b/>
                <w:szCs w:val="21"/>
              </w:rPr>
            </w:pPr>
          </w:p>
        </w:tc>
        <w:tc>
          <w:tcPr>
            <w:tcW w:w="924" w:type="dxa"/>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11A986D">
            <w:pPr>
              <w:spacing w:line="360" w:lineRule="exact"/>
              <w:jc w:val="center"/>
              <w:rPr>
                <w:rFonts w:ascii="宋体" w:hAnsi="宋体"/>
                <w:szCs w:val="21"/>
              </w:rPr>
            </w:pPr>
            <w:r>
              <w:rPr>
                <w:rFonts w:hint="eastAsia" w:ascii="宋体" w:hAnsi="宋体"/>
                <w:szCs w:val="21"/>
              </w:rPr>
              <w:t>19</w:t>
            </w:r>
          </w:p>
        </w:tc>
        <w:tc>
          <w:tcPr>
            <w:tcW w:w="6023" w:type="dxa"/>
            <w:vAlign w:val="center"/>
          </w:tcPr>
          <w:p w14:paraId="4745A0D1">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D6FDD0E">
            <w:pPr>
              <w:spacing w:line="360" w:lineRule="exact"/>
              <w:jc w:val="center"/>
              <w:rPr>
                <w:rFonts w:ascii="宋体" w:hAnsi="宋体"/>
                <w:b/>
                <w:szCs w:val="21"/>
              </w:rPr>
            </w:pPr>
          </w:p>
        </w:tc>
        <w:tc>
          <w:tcPr>
            <w:tcW w:w="924" w:type="dxa"/>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3208A2">
            <w:pPr>
              <w:spacing w:line="360" w:lineRule="exact"/>
              <w:jc w:val="center"/>
              <w:rPr>
                <w:rFonts w:ascii="宋体" w:hAnsi="宋体"/>
                <w:szCs w:val="21"/>
              </w:rPr>
            </w:pPr>
            <w:r>
              <w:rPr>
                <w:rFonts w:hint="eastAsia" w:ascii="宋体" w:hAnsi="宋体"/>
                <w:szCs w:val="21"/>
              </w:rPr>
              <w:t>20</w:t>
            </w:r>
          </w:p>
        </w:tc>
        <w:tc>
          <w:tcPr>
            <w:tcW w:w="6023" w:type="dxa"/>
            <w:vAlign w:val="center"/>
          </w:tcPr>
          <w:p w14:paraId="39003943">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1CA705D">
            <w:pPr>
              <w:spacing w:line="360" w:lineRule="exact"/>
              <w:jc w:val="center"/>
              <w:rPr>
                <w:rFonts w:ascii="宋体" w:hAnsi="宋体"/>
                <w:b/>
                <w:szCs w:val="21"/>
              </w:rPr>
            </w:pPr>
          </w:p>
        </w:tc>
        <w:tc>
          <w:tcPr>
            <w:tcW w:w="924" w:type="dxa"/>
            <w:vAlign w:val="center"/>
          </w:tcPr>
          <w:p w14:paraId="0474A63D">
            <w:pPr>
              <w:spacing w:line="360" w:lineRule="exact"/>
              <w:jc w:val="center"/>
              <w:rPr>
                <w:rFonts w:ascii="宋体" w:hAnsi="宋体"/>
                <w:b/>
                <w:szCs w:val="21"/>
              </w:rPr>
            </w:pPr>
          </w:p>
        </w:tc>
      </w:tr>
    </w:tbl>
    <w:p w14:paraId="2BB00BDC">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4A4FCECC">
      <w:pPr>
        <w:pStyle w:val="4"/>
        <w:spacing w:line="400" w:lineRule="exact"/>
        <w:rPr>
          <w:rFonts w:ascii="仿宋" w:hAnsi="仿宋" w:eastAsia="仿宋"/>
        </w:rPr>
      </w:pPr>
    </w:p>
    <w:p w14:paraId="6CA4D675">
      <w:pPr>
        <w:pStyle w:val="4"/>
        <w:spacing w:line="400" w:lineRule="exact"/>
        <w:rPr>
          <w:rFonts w:ascii="仿宋" w:hAnsi="仿宋" w:eastAsia="仿宋"/>
        </w:rPr>
      </w:pPr>
      <w:r>
        <w:rPr>
          <w:rFonts w:hint="eastAsia" w:ascii="仿宋" w:hAnsi="仿宋" w:eastAsia="仿宋"/>
        </w:rPr>
        <w:t>供应商基本情况表</w:t>
      </w:r>
    </w:p>
    <w:p w14:paraId="316D91C4"/>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9"/>
              <w:spacing w:before="175" w:line="198" w:lineRule="auto"/>
              <w:ind w:left="2683"/>
              <w:rPr>
                <w:rFonts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9"/>
              <w:spacing w:before="174" w:line="235" w:lineRule="auto"/>
              <w:ind w:left="240" w:right="116" w:hanging="101"/>
              <w:rPr>
                <w:rFonts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9"/>
              <w:spacing w:before="177" w:line="198" w:lineRule="auto"/>
              <w:ind w:left="2683"/>
              <w:rPr>
                <w:rFonts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74A4AB36">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DFD60B1">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D7FCA5B">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53B085DE">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73832946">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A7CE09">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6"/>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ascii="宋体" w:hAnsi="宋体" w:cs="宋体"/>
          <w:b/>
          <w:bCs/>
          <w:color w:val="FF0000"/>
          <w:szCs w:val="21"/>
        </w:rPr>
      </w:pPr>
    </w:p>
    <w:p w14:paraId="06D4D0CF">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1"/>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0C475610"/>
    <w:p w14:paraId="21BBEEA0">
      <w:pPr>
        <w:rPr>
          <w:rFonts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9"/>
      <w:bookmarkEnd w:id="70"/>
      <w:bookmarkEnd w:id="71"/>
      <w:bookmarkEnd w:id="72"/>
      <w:bookmarkEnd w:id="73"/>
    </w:p>
    <w:p w14:paraId="7C1B5D4A">
      <w:pPr>
        <w:adjustRightInd w:val="0"/>
        <w:snapToGrid w:val="0"/>
        <w:spacing w:line="360" w:lineRule="auto"/>
        <w:ind w:firstLine="424" w:firstLineChars="202"/>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CC6988B">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ascii="宋体" w:hAnsi="宋体" w:cs="Courier New"/>
          <w:snapToGrid w:val="0"/>
          <w:szCs w:val="18"/>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74" w:name="_Toc135293183"/>
      <w:r>
        <w:rPr>
          <w:rFonts w:hint="eastAsia" w:asciiTheme="minorEastAsia" w:hAnsiTheme="minorEastAsia" w:eastAsiaTheme="minorEastAsia"/>
        </w:rPr>
        <w:t>格式2  法定代表人（负责人）证明书及授权委托书</w:t>
      </w:r>
      <w:bookmarkEnd w:id="74"/>
    </w:p>
    <w:p w14:paraId="65192C1D">
      <w:pPr>
        <w:widowControl/>
        <w:jc w:val="left"/>
        <w:rPr>
          <w:rFonts w:ascii="宋体" w:hAnsi="宋体"/>
          <w:b/>
          <w:sz w:val="28"/>
          <w:szCs w:val="28"/>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ascii="宋体" w:hAnsi="宋体"/>
          <w:b/>
          <w:sz w:val="28"/>
          <w:szCs w:val="28"/>
        </w:rPr>
      </w:pPr>
      <w:r>
        <w:rPr>
          <w:rFonts w:hint="eastAsia" w:ascii="宋体" w:hAnsi="宋体"/>
          <w:b/>
          <w:sz w:val="28"/>
          <w:szCs w:val="28"/>
        </w:rPr>
        <w:br w:type="page"/>
      </w:r>
    </w:p>
    <w:p w14:paraId="62FC7172">
      <w:pPr>
        <w:widowControl/>
        <w:jc w:val="center"/>
        <w:rPr>
          <w:rFonts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4B954082">
      <w:pPr>
        <w:spacing w:line="360" w:lineRule="auto"/>
        <w:ind w:firstLine="539" w:firstLineChars="257"/>
        <w:rPr>
          <w:highlight w:val="yellow"/>
        </w:rPr>
      </w:pPr>
    </w:p>
    <w:p w14:paraId="0800E14B">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b/>
          <w:bCs/>
          <w:sz w:val="28"/>
        </w:rPr>
      </w:pPr>
    </w:p>
    <w:p w14:paraId="3EF0D02B">
      <w:pPr>
        <w:jc w:val="center"/>
        <w:rPr>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rPr>
        <w:t>投标单位名称：（公章）</w:t>
      </w:r>
    </w:p>
    <w:p w14:paraId="7C2D8CF3">
      <w:pPr>
        <w:ind w:firstLine="630"/>
      </w:pPr>
    </w:p>
    <w:p w14:paraId="4902E904">
      <w:pPr>
        <w:ind w:firstLine="630"/>
      </w:pPr>
      <w:r>
        <w:rPr>
          <w:rFonts w:hint="eastAsia"/>
        </w:rPr>
        <w:t>法定代表人（单位负责人）：（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75"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75"/>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76"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76"/>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asciiTheme="minorEastAsia" w:hAnsiTheme="minorEastAsia" w:eastAsiaTheme="minorEastAsia"/>
        </w:rPr>
      </w:pPr>
      <w:bookmarkStart w:id="77" w:name="_Toc135293185"/>
      <w:r>
        <w:rPr>
          <w:rFonts w:hint="eastAsia" w:asciiTheme="minorEastAsia" w:hAnsiTheme="minorEastAsia" w:eastAsiaTheme="minorEastAsia"/>
        </w:rPr>
        <w:t xml:space="preserve">格式4  </w:t>
      </w:r>
      <w:bookmarkEnd w:id="77"/>
      <w:r>
        <w:rPr>
          <w:rFonts w:hint="eastAsia" w:asciiTheme="minorEastAsia" w:hAnsiTheme="minorEastAsia" w:eastAsiaTheme="minorEastAsia"/>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78" w:name="_Hlk71925120"/>
      <w:r>
        <w:rPr>
          <w:rFonts w:hint="eastAsia" w:asciiTheme="minorEastAsia" w:hAnsiTheme="minorEastAsia" w:eastAsiaTheme="minorEastAsia"/>
          <w:kern w:val="0"/>
          <w:szCs w:val="21"/>
        </w:rPr>
        <w:t>《关于印发中小企业划型标准规定的通知》（工信部联企业〔2011〕300 号</w:t>
      </w:r>
      <w:bookmarkEnd w:id="78"/>
      <w:r>
        <w:rPr>
          <w:rFonts w:hint="eastAsia" w:asciiTheme="minorEastAsia" w:hAnsiTheme="minorEastAsia" w:eastAsiaTheme="minorEastAsia"/>
          <w:kern w:val="0"/>
          <w:szCs w:val="21"/>
        </w:rPr>
        <w:t>）</w:t>
      </w:r>
    </w:p>
    <w:p w14:paraId="5C999ED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02245991">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79" w:name="_Toc44691397"/>
      <w:bookmarkStart w:id="80" w:name="_Toc44690433"/>
      <w:bookmarkStart w:id="81" w:name="_Toc135293186"/>
      <w:bookmarkStart w:id="82" w:name="_Toc44691165"/>
      <w:bookmarkStart w:id="83" w:name="_Toc4469070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spacing w:before="0" w:beforeAutospacing="0" w:after="0" w:afterAutospacing="0" w:line="560" w:lineRule="atLeast"/>
        <w:jc w:val="center"/>
        <w:textAlignment w:val="baseline"/>
        <w:rPr>
          <w:rFonts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65E92E21">
      <w:pPr>
        <w:pStyle w:val="45"/>
        <w:spacing w:before="0" w:beforeAutospacing="0" w:after="0" w:afterAutospacing="0" w:line="560" w:lineRule="atLeast"/>
        <w:ind w:firstLine="420"/>
        <w:textAlignment w:val="baseline"/>
        <w:rPr>
          <w:rFonts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63557353">
      <w:pPr>
        <w:pStyle w:val="45"/>
        <w:spacing w:before="0" w:beforeAutospacing="0" w:after="0" w:afterAutospacing="0" w:line="560" w:lineRule="atLeast"/>
        <w:ind w:firstLine="420"/>
        <w:textAlignment w:val="baseline"/>
        <w:rPr>
          <w:rFonts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p>
    <w:p w14:paraId="0B592BAF">
      <w:pPr>
        <w:rPr>
          <w:rFonts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79"/>
      <w:bookmarkEnd w:id="80"/>
      <w:bookmarkEnd w:id="81"/>
      <w:bookmarkEnd w:id="82"/>
      <w:bookmarkEnd w:id="83"/>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pPr>
            <w:r>
              <w:rPr>
                <w:rFonts w:hint="eastAsia" w:asciiTheme="minorEastAsia" w:hAnsiTheme="minorEastAsia" w:eastAsiaTheme="minorEastAsia"/>
              </w:rPr>
              <w:t>采购管理系统建设项目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84" w:name="_Toc44690434"/>
      <w:bookmarkStart w:id="85" w:name="_Toc44691398"/>
      <w:bookmarkStart w:id="86" w:name="_Toc44690707"/>
      <w:bookmarkStart w:id="87" w:name="_Toc44691166"/>
      <w:bookmarkStart w:id="88" w:name="_Toc135293187"/>
      <w:r>
        <w:rPr>
          <w:rFonts w:hint="eastAsia" w:asciiTheme="minorEastAsia" w:hAnsiTheme="minorEastAsia" w:eastAsiaTheme="minorEastAsia"/>
        </w:rPr>
        <w:t>格式6  报价表</w:t>
      </w:r>
      <w:bookmarkEnd w:id="84"/>
      <w:bookmarkEnd w:id="85"/>
      <w:bookmarkEnd w:id="86"/>
      <w:bookmarkEnd w:id="87"/>
      <w:bookmarkEnd w:id="88"/>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投标单位：（加盖公章）</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89" w:name="_Toc135293188"/>
      <w:bookmarkStart w:id="90" w:name="_Toc44690435"/>
      <w:bookmarkStart w:id="91" w:name="_Toc44690708"/>
      <w:bookmarkStart w:id="92" w:name="_Toc44691399"/>
      <w:bookmarkStart w:id="93" w:name="_Toc44691167"/>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89"/>
      <w:bookmarkEnd w:id="90"/>
      <w:bookmarkEnd w:id="91"/>
      <w:bookmarkEnd w:id="92"/>
      <w:bookmarkEnd w:id="93"/>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533DC4C">
      <w:pPr>
        <w:spacing w:line="360" w:lineRule="auto"/>
        <w:ind w:firstLine="420" w:firstLineChars="200"/>
        <w:rPr>
          <w:rFonts w:ascii="宋体" w:hAnsi="宋体" w:cs="宋体"/>
          <w:szCs w:val="21"/>
        </w:rPr>
      </w:pPr>
      <w:r>
        <w:rPr>
          <w:rFonts w:hint="eastAsia" w:ascii="宋体" w:hAnsi="宋体"/>
          <w:szCs w:val="21"/>
        </w:rPr>
        <w:t>1、</w:t>
      </w:r>
      <w:r>
        <w:rPr>
          <w:rFonts w:hint="eastAsia" w:ascii="宋体" w:hAnsi="宋体" w:cs="宋体"/>
          <w:szCs w:val="21"/>
        </w:rPr>
        <w:t>实施方案</w:t>
      </w:r>
    </w:p>
    <w:p w14:paraId="70187AE0">
      <w:pPr>
        <w:spacing w:line="360" w:lineRule="auto"/>
        <w:ind w:firstLine="420" w:firstLineChars="200"/>
        <w:rPr>
          <w:rFonts w:ascii="宋体" w:hAnsi="宋体" w:cs="宋体"/>
          <w:szCs w:val="21"/>
        </w:rPr>
      </w:pPr>
      <w:r>
        <w:rPr>
          <w:rFonts w:hint="eastAsia" w:ascii="宋体" w:hAnsi="宋体" w:cs="宋体"/>
          <w:szCs w:val="21"/>
        </w:rPr>
        <w:t>2、项目重点难点分析、应对措施及相关的合理化建议</w:t>
      </w:r>
    </w:p>
    <w:p w14:paraId="7E5EDD95">
      <w:pPr>
        <w:spacing w:line="360" w:lineRule="auto"/>
        <w:ind w:firstLine="420" w:firstLineChars="200"/>
        <w:rPr>
          <w:rFonts w:ascii="宋体" w:hAnsi="宋体" w:cs="宋体"/>
          <w:szCs w:val="21"/>
        </w:rPr>
      </w:pPr>
      <w:r>
        <w:rPr>
          <w:rFonts w:hint="eastAsia" w:ascii="宋体" w:hAnsi="宋体" w:cs="宋体"/>
          <w:szCs w:val="21"/>
        </w:rPr>
        <w:t>3、质量保障措施及方案</w:t>
      </w:r>
    </w:p>
    <w:p w14:paraId="37029C49">
      <w:pPr>
        <w:spacing w:line="360" w:lineRule="auto"/>
        <w:ind w:firstLine="420" w:firstLineChars="200"/>
        <w:rPr>
          <w:rFonts w:ascii="宋体" w:hAnsi="宋体" w:cs="宋体"/>
          <w:szCs w:val="21"/>
        </w:rPr>
      </w:pPr>
      <w:r>
        <w:rPr>
          <w:rFonts w:hint="eastAsia" w:ascii="宋体" w:hAnsi="宋体" w:cs="宋体"/>
          <w:szCs w:val="21"/>
        </w:rPr>
        <w:t>4、拟安排的项目负责人(仅限1人）情况</w:t>
      </w:r>
    </w:p>
    <w:p w14:paraId="6BB93047">
      <w:pPr>
        <w:spacing w:line="360" w:lineRule="auto"/>
        <w:ind w:firstLine="420" w:firstLineChars="200"/>
        <w:rPr>
          <w:rFonts w:ascii="宋体" w:hAnsi="宋体" w:cs="宋体"/>
          <w:szCs w:val="21"/>
        </w:rPr>
      </w:pPr>
      <w:r>
        <w:rPr>
          <w:rFonts w:hint="eastAsia" w:ascii="宋体" w:hAnsi="宋体" w:cs="宋体"/>
          <w:szCs w:val="21"/>
        </w:rPr>
        <w:t>5、拟安排的项目团队成员（项目负责人除外）情况</w:t>
      </w:r>
    </w:p>
    <w:p w14:paraId="4B0AC4A4">
      <w:pPr>
        <w:spacing w:line="360" w:lineRule="auto"/>
        <w:ind w:firstLine="420" w:firstLineChars="200"/>
        <w:rPr>
          <w:rFonts w:ascii="宋体" w:hAnsi="宋体" w:cs="宋体"/>
          <w:szCs w:val="21"/>
        </w:rPr>
      </w:pPr>
      <w:r>
        <w:rPr>
          <w:rFonts w:hint="eastAsia" w:ascii="宋体" w:hAnsi="宋体" w:cs="宋体"/>
          <w:szCs w:val="21"/>
        </w:rPr>
        <w:t>6、同类项目业绩</w:t>
      </w:r>
    </w:p>
    <w:p w14:paraId="00B1F771">
      <w:pPr>
        <w:spacing w:line="360" w:lineRule="auto"/>
        <w:ind w:firstLine="420" w:firstLineChars="200"/>
        <w:rPr>
          <w:rFonts w:ascii="宋体" w:hAnsi="宋体" w:cs="宋体"/>
          <w:szCs w:val="21"/>
        </w:rPr>
      </w:pPr>
      <w:r>
        <w:rPr>
          <w:rFonts w:hint="eastAsia" w:ascii="宋体" w:hAnsi="宋体" w:cs="宋体"/>
          <w:szCs w:val="21"/>
        </w:rPr>
        <w:t>7、履约评价</w:t>
      </w:r>
    </w:p>
    <w:p w14:paraId="5D4F00B9">
      <w:pPr>
        <w:spacing w:line="360" w:lineRule="auto"/>
        <w:ind w:firstLine="420" w:firstLineChars="200"/>
        <w:rPr>
          <w:rFonts w:ascii="宋体" w:hAnsi="宋体"/>
          <w:szCs w:val="21"/>
        </w:rPr>
      </w:pPr>
      <w:r>
        <w:rPr>
          <w:rFonts w:hint="eastAsia" w:ascii="宋体" w:hAnsi="宋体" w:cs="宋体"/>
          <w:szCs w:val="21"/>
        </w:rPr>
        <w:t>8、服务网点</w:t>
      </w:r>
    </w:p>
    <w:p w14:paraId="62D8E219">
      <w:pPr>
        <w:spacing w:line="360" w:lineRule="auto"/>
        <w:ind w:left="420"/>
        <w:rPr>
          <w:rFonts w:ascii="宋体" w:hAnsi="宋体"/>
          <w:bCs/>
        </w:rPr>
      </w:pPr>
      <w:r>
        <w:rPr>
          <w:rFonts w:hint="eastAsia" w:ascii="宋体" w:hAnsi="宋体"/>
          <w:bCs/>
        </w:rPr>
        <w:t>9、投标人认为必要的其他方案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投标单位：（加盖公章）</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94"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94"/>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95" w:name="_Toc44690709"/>
      <w:bookmarkStart w:id="96" w:name="_Toc44691400"/>
      <w:bookmarkStart w:id="97" w:name="_Toc44691168"/>
      <w:bookmarkStart w:id="98" w:name="_Toc44690436"/>
      <w:bookmarkStart w:id="99" w:name="_Toc135293190"/>
      <w:r>
        <w:rPr>
          <w:rFonts w:hint="eastAsia" w:asciiTheme="minorEastAsia" w:hAnsiTheme="minorEastAsia" w:eastAsiaTheme="minorEastAsia"/>
        </w:rPr>
        <w:t>格式9  偏离表</w:t>
      </w:r>
      <w:bookmarkEnd w:id="95"/>
      <w:bookmarkEnd w:id="96"/>
      <w:bookmarkEnd w:id="97"/>
      <w:bookmarkEnd w:id="98"/>
      <w:bookmarkEnd w:id="99"/>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546FFD48">
      <w:pPr>
        <w:spacing w:line="400" w:lineRule="exact"/>
        <w:rPr>
          <w:rFonts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招标文件商务要求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snapToGrid w:val="0"/>
          <w:kern w:val="0"/>
        </w:rPr>
      </w:pPr>
    </w:p>
    <w:p w14:paraId="659C70D4">
      <w:pPr>
        <w:adjustRightInd w:val="0"/>
        <w:snapToGrid w:val="0"/>
        <w:spacing w:line="300" w:lineRule="auto"/>
        <w:rPr>
          <w:snapToGrid w:val="0"/>
          <w:kern w:val="0"/>
        </w:rPr>
      </w:pPr>
      <w:r>
        <w:rPr>
          <w:rFonts w:hint="eastAsia"/>
          <w:snapToGrid w:val="0"/>
          <w:kern w:val="0"/>
        </w:rPr>
        <w:t>投标单位：（加盖公章）</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100" w:name="_格式5__"/>
      <w:bookmarkEnd w:id="100"/>
      <w:bookmarkStart w:id="101" w:name="_格式3__"/>
      <w:bookmarkEnd w:id="101"/>
      <w:bookmarkStart w:id="102" w:name="_格式4__"/>
      <w:bookmarkEnd w:id="102"/>
      <w:bookmarkStart w:id="103" w:name="q16"/>
      <w:bookmarkEnd w:id="103"/>
      <w:bookmarkStart w:id="104" w:name="_格式2__投标保证金凭证"/>
      <w:bookmarkEnd w:id="104"/>
      <w:bookmarkStart w:id="105" w:name="q15"/>
      <w:bookmarkEnd w:id="105"/>
      <w:bookmarkStart w:id="106" w:name="q17"/>
      <w:bookmarkEnd w:id="106"/>
      <w:r>
        <w:rPr>
          <w:rFonts w:asciiTheme="minorEastAsia" w:hAnsiTheme="minorEastAsia" w:eastAsiaTheme="minorEastAsia"/>
        </w:rPr>
        <w:tab/>
      </w:r>
      <w:bookmarkStart w:id="107" w:name="_Toc44691401"/>
      <w:bookmarkStart w:id="108" w:name="_Toc44690437"/>
      <w:bookmarkStart w:id="109" w:name="_Toc44691169"/>
      <w:bookmarkStart w:id="110" w:name="_Toc44690710"/>
      <w:bookmarkStart w:id="111"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107"/>
      <w:bookmarkEnd w:id="108"/>
      <w:bookmarkEnd w:id="109"/>
      <w:bookmarkEnd w:id="110"/>
      <w:r>
        <w:rPr>
          <w:rFonts w:hint="eastAsia" w:asciiTheme="minorEastAsia" w:hAnsiTheme="minorEastAsia" w:eastAsiaTheme="minorEastAsia"/>
        </w:rPr>
        <w:t>招标文件要求的其他资料或投标人认为需要补充的资料</w:t>
      </w:r>
      <w:bookmarkEnd w:id="111"/>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12" w:name="_Toc135293192"/>
      <w:r>
        <w:rPr>
          <w:rFonts w:hint="eastAsia"/>
        </w:rPr>
        <w:t>第八章  合同条款</w:t>
      </w:r>
      <w:bookmarkEnd w:id="112"/>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13" w:name="_Toc135293193"/>
      <w:bookmarkStart w:id="114" w:name="_Toc73610161"/>
      <w:r>
        <w:rPr>
          <w:rFonts w:hint="eastAsia"/>
        </w:rPr>
        <w:t>第九章  附件</w:t>
      </w:r>
      <w:bookmarkEnd w:id="113"/>
      <w:bookmarkEnd w:id="114"/>
    </w:p>
    <w:p w14:paraId="3C84BC95">
      <w:pPr>
        <w:pStyle w:val="4"/>
        <w:spacing w:before="0" w:after="0"/>
      </w:pPr>
      <w:bookmarkStart w:id="115" w:name="_Toc73613644"/>
      <w:bookmarkStart w:id="116" w:name="_Toc73610162"/>
      <w:bookmarkStart w:id="117" w:name="_Toc135293194"/>
      <w:r>
        <w:rPr>
          <w:rFonts w:hint="eastAsia"/>
        </w:rPr>
        <w:t>一、财政部 工业和信息化部关于印发《政府采购促进中小企业发展管理办法》的通知</w:t>
      </w:r>
      <w:bookmarkEnd w:id="115"/>
      <w:bookmarkEnd w:id="116"/>
      <w:bookmarkEnd w:id="117"/>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18" w:name="_Toc73613645"/>
      <w:bookmarkStart w:id="119" w:name="_Toc135293195"/>
      <w:bookmarkStart w:id="120" w:name="_Toc73610163"/>
      <w:r>
        <w:rPr>
          <w:rFonts w:hint="eastAsia"/>
        </w:rPr>
        <w:t>二、关于印发中小企业划型标准规定的通知</w:t>
      </w:r>
      <w:bookmarkEnd w:id="118"/>
      <w:bookmarkEnd w:id="119"/>
      <w:bookmarkEnd w:id="120"/>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21" w:name="_Toc73613646"/>
      <w:bookmarkStart w:id="122" w:name="_Toc73610164"/>
      <w:bookmarkStart w:id="123" w:name="_Toc135293196"/>
      <w:r>
        <w:rPr>
          <w:rFonts w:hint="eastAsia"/>
        </w:rPr>
        <w:t>三、</w:t>
      </w:r>
      <w:r>
        <w:t>国家统计局关于印发《统计上大中小微型企业划分办法 （2017）》的通知</w:t>
      </w:r>
      <w:bookmarkEnd w:id="121"/>
      <w:bookmarkEnd w:id="122"/>
      <w:bookmarkEnd w:id="123"/>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24" w:name="_Toc73610165"/>
      <w:bookmarkStart w:id="125" w:name="_Toc73613647"/>
      <w:bookmarkStart w:id="126" w:name="_Toc135293197"/>
      <w:r>
        <w:rPr>
          <w:rFonts w:hint="eastAsia"/>
        </w:rPr>
        <w:t>四、</w:t>
      </w:r>
      <w:r>
        <w:t>财政部 民政部 中国残疾人联合会关于促进残疾人就业 政府采购政策的通知</w:t>
      </w:r>
      <w:bookmarkEnd w:id="124"/>
      <w:bookmarkEnd w:id="125"/>
      <w:bookmarkEnd w:id="126"/>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27" w:name="_Toc135293198"/>
      <w:r>
        <w:rPr>
          <w:rFonts w:hint="eastAsia"/>
        </w:rPr>
        <w:t>五、财政部 司法部关于政府采购支持监狱企业发展有关问题的通知</w:t>
      </w:r>
      <w:bookmarkEnd w:id="127"/>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21</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项目名称：采购管理系统建设项目                                                    项目编号：</w:t>
    </w:r>
    <w:r>
      <w:rPr>
        <w:rFonts w:hint="eastAsia" w:asciiTheme="minorEastAsia" w:hAnsiTheme="minorEastAsia" w:eastAsiaTheme="minorEastAsia"/>
      </w:rPr>
      <w:t>SZZZ2026-QC0007</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0CB"/>
    <w:rsid w:val="000B3202"/>
    <w:rsid w:val="000B493E"/>
    <w:rsid w:val="000B4F60"/>
    <w:rsid w:val="000B5B6D"/>
    <w:rsid w:val="000B5CC8"/>
    <w:rsid w:val="000B5DFC"/>
    <w:rsid w:val="000B5E52"/>
    <w:rsid w:val="000B61BF"/>
    <w:rsid w:val="000B620E"/>
    <w:rsid w:val="000B67E1"/>
    <w:rsid w:val="000B6925"/>
    <w:rsid w:val="000C0E15"/>
    <w:rsid w:val="000C1B95"/>
    <w:rsid w:val="000C1D04"/>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CD1"/>
    <w:rsid w:val="00101DFC"/>
    <w:rsid w:val="00102684"/>
    <w:rsid w:val="00102A12"/>
    <w:rsid w:val="00102CC6"/>
    <w:rsid w:val="00102F0D"/>
    <w:rsid w:val="00103B55"/>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92A"/>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741"/>
    <w:rsid w:val="00164924"/>
    <w:rsid w:val="00164A55"/>
    <w:rsid w:val="0016560E"/>
    <w:rsid w:val="001657B1"/>
    <w:rsid w:val="00165B02"/>
    <w:rsid w:val="00166DCC"/>
    <w:rsid w:val="00166EAF"/>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5EA"/>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0F7"/>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67D"/>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415F"/>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5D4"/>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610"/>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AE1"/>
    <w:rsid w:val="002E3C98"/>
    <w:rsid w:val="002E4485"/>
    <w:rsid w:val="002E4681"/>
    <w:rsid w:val="002E4D51"/>
    <w:rsid w:val="002E55E6"/>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0DC4"/>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A7B"/>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40"/>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17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32D"/>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2D2"/>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E7D07"/>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4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BA9"/>
    <w:rsid w:val="00584E20"/>
    <w:rsid w:val="00585A48"/>
    <w:rsid w:val="00585D80"/>
    <w:rsid w:val="00586A60"/>
    <w:rsid w:val="00587847"/>
    <w:rsid w:val="00587868"/>
    <w:rsid w:val="00587E0C"/>
    <w:rsid w:val="005905E5"/>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5C65"/>
    <w:rsid w:val="005B645D"/>
    <w:rsid w:val="005B663F"/>
    <w:rsid w:val="005B68B6"/>
    <w:rsid w:val="005B6B95"/>
    <w:rsid w:val="005B707A"/>
    <w:rsid w:val="005B7160"/>
    <w:rsid w:val="005B73A6"/>
    <w:rsid w:val="005B768C"/>
    <w:rsid w:val="005C0675"/>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6EC9"/>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778BF"/>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97EE2"/>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3E"/>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04A"/>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86D"/>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6BD"/>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27A8"/>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2E4"/>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121"/>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3F78"/>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18F"/>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97A9D"/>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5AAE"/>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5BCB"/>
    <w:rsid w:val="00996363"/>
    <w:rsid w:val="00996F08"/>
    <w:rsid w:val="00997309"/>
    <w:rsid w:val="00997DE4"/>
    <w:rsid w:val="009A017A"/>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689"/>
    <w:rsid w:val="009D57AF"/>
    <w:rsid w:val="009D5899"/>
    <w:rsid w:val="009D5EFF"/>
    <w:rsid w:val="009D648F"/>
    <w:rsid w:val="009D737C"/>
    <w:rsid w:val="009D7811"/>
    <w:rsid w:val="009D7EC6"/>
    <w:rsid w:val="009E0313"/>
    <w:rsid w:val="009E0C2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0C6E"/>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6A8E"/>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480"/>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866"/>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3F47"/>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39B"/>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77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2D0"/>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B89"/>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835"/>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164"/>
    <w:rsid w:val="00C8734C"/>
    <w:rsid w:val="00C87A9E"/>
    <w:rsid w:val="00C904E4"/>
    <w:rsid w:val="00C90BC4"/>
    <w:rsid w:val="00C91409"/>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B02"/>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3A4"/>
    <w:rsid w:val="00D8686B"/>
    <w:rsid w:val="00D86F69"/>
    <w:rsid w:val="00D86F82"/>
    <w:rsid w:val="00D87458"/>
    <w:rsid w:val="00D87A73"/>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525A"/>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4BF"/>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085"/>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574"/>
    <w:rsid w:val="00E9495E"/>
    <w:rsid w:val="00E94E0B"/>
    <w:rsid w:val="00E94FD2"/>
    <w:rsid w:val="00E95897"/>
    <w:rsid w:val="00E95CF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2AE"/>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1CB"/>
    <w:rsid w:val="00F954CA"/>
    <w:rsid w:val="00F95676"/>
    <w:rsid w:val="00F96280"/>
    <w:rsid w:val="00F967BB"/>
    <w:rsid w:val="00F96E84"/>
    <w:rsid w:val="00F97914"/>
    <w:rsid w:val="00F97E2D"/>
    <w:rsid w:val="00FA01D4"/>
    <w:rsid w:val="00FA0BB6"/>
    <w:rsid w:val="00FA2A41"/>
    <w:rsid w:val="00FA2BD7"/>
    <w:rsid w:val="00FA3BAD"/>
    <w:rsid w:val="00FA3F06"/>
    <w:rsid w:val="00FA43A2"/>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71768"/>
    <w:rsid w:val="026E4F91"/>
    <w:rsid w:val="02C77214"/>
    <w:rsid w:val="02CB1CF7"/>
    <w:rsid w:val="03675DAC"/>
    <w:rsid w:val="039C57C0"/>
    <w:rsid w:val="041D095D"/>
    <w:rsid w:val="054247C4"/>
    <w:rsid w:val="05C87DB9"/>
    <w:rsid w:val="077E586F"/>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5E41AB"/>
    <w:rsid w:val="11080DB5"/>
    <w:rsid w:val="114573C0"/>
    <w:rsid w:val="115F3FD7"/>
    <w:rsid w:val="11834124"/>
    <w:rsid w:val="11A259DD"/>
    <w:rsid w:val="11D90C91"/>
    <w:rsid w:val="11F9269A"/>
    <w:rsid w:val="120474A0"/>
    <w:rsid w:val="121C60CC"/>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A182B91"/>
    <w:rsid w:val="1A3B761A"/>
    <w:rsid w:val="1A4E7B88"/>
    <w:rsid w:val="1A5339C4"/>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32648"/>
    <w:rsid w:val="24C47897"/>
    <w:rsid w:val="24D521C3"/>
    <w:rsid w:val="24E337F8"/>
    <w:rsid w:val="252C71BA"/>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CFA3055"/>
    <w:rsid w:val="2D0D4B37"/>
    <w:rsid w:val="2D6C141D"/>
    <w:rsid w:val="2DCE75E0"/>
    <w:rsid w:val="2DEA2B8B"/>
    <w:rsid w:val="2E980D64"/>
    <w:rsid w:val="2EB64B4B"/>
    <w:rsid w:val="2EDB590A"/>
    <w:rsid w:val="2F0A29E3"/>
    <w:rsid w:val="30601421"/>
    <w:rsid w:val="30817D6A"/>
    <w:rsid w:val="3157114E"/>
    <w:rsid w:val="315D7CF4"/>
    <w:rsid w:val="31F2037F"/>
    <w:rsid w:val="329B11F6"/>
    <w:rsid w:val="336E087E"/>
    <w:rsid w:val="33A85DA6"/>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1235B6"/>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5920C15"/>
    <w:rsid w:val="459D2A33"/>
    <w:rsid w:val="45D37D9B"/>
    <w:rsid w:val="46005BEE"/>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00568C6"/>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A51631"/>
    <w:rsid w:val="58D67D8C"/>
    <w:rsid w:val="58E10577"/>
    <w:rsid w:val="59165EF7"/>
    <w:rsid w:val="59702A12"/>
    <w:rsid w:val="59CF1242"/>
    <w:rsid w:val="5AE46F75"/>
    <w:rsid w:val="5AED2A9C"/>
    <w:rsid w:val="5BC746C9"/>
    <w:rsid w:val="5CC61F72"/>
    <w:rsid w:val="5CF206F7"/>
    <w:rsid w:val="5D125E69"/>
    <w:rsid w:val="5D440F45"/>
    <w:rsid w:val="5D6121B1"/>
    <w:rsid w:val="5DA764EE"/>
    <w:rsid w:val="5DAC1664"/>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8D3F8A"/>
    <w:rsid w:val="6BBD7356"/>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8F4309F"/>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2"/>
    <w:autoRedefine/>
    <w:qFormat/>
    <w:uiPriority w:val="0"/>
    <w:rPr>
      <w:kern w:val="2"/>
      <w:sz w:val="21"/>
      <w:szCs w:val="24"/>
    </w:rPr>
  </w:style>
  <w:style w:type="character" w:customStyle="1" w:styleId="75">
    <w:name w:val="纯文本 字符"/>
    <w:link w:val="27"/>
    <w:autoRedefine/>
    <w:qFormat/>
    <w:uiPriority w:val="0"/>
    <w:rPr>
      <w:rFonts w:ascii="宋体" w:hAnsi="Courier New" w:eastAsia="宋体"/>
      <w:kern w:val="2"/>
      <w:sz w:val="21"/>
      <w:lang w:val="en-US" w:eastAsia="zh-CN" w:bidi="ar-SA"/>
    </w:rPr>
  </w:style>
  <w:style w:type="character" w:customStyle="1" w:styleId="76">
    <w:name w:val="正文文本缩进 2 字符"/>
    <w:link w:val="30"/>
    <w:autoRedefine/>
    <w:qFormat/>
    <w:uiPriority w:val="0"/>
    <w:rPr>
      <w:kern w:val="2"/>
      <w:sz w:val="21"/>
      <w:szCs w:val="24"/>
    </w:rPr>
  </w:style>
  <w:style w:type="character" w:customStyle="1" w:styleId="77">
    <w:name w:val="批注框文本 字符"/>
    <w:basedOn w:val="52"/>
    <w:link w:val="31"/>
    <w:autoRedefine/>
    <w:qFormat/>
    <w:uiPriority w:val="99"/>
    <w:rPr>
      <w:kern w:val="2"/>
      <w:sz w:val="18"/>
      <w:szCs w:val="18"/>
    </w:rPr>
  </w:style>
  <w:style w:type="character" w:customStyle="1" w:styleId="78">
    <w:name w:val="页脚 字符"/>
    <w:basedOn w:val="52"/>
    <w:link w:val="32"/>
    <w:autoRedefine/>
    <w:qFormat/>
    <w:uiPriority w:val="99"/>
    <w:rPr>
      <w:kern w:val="2"/>
      <w:sz w:val="18"/>
      <w:szCs w:val="18"/>
    </w:rPr>
  </w:style>
  <w:style w:type="character" w:customStyle="1" w:styleId="79">
    <w:name w:val="页眉 字符"/>
    <w:link w:val="33"/>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spacing w:line="360" w:lineRule="auto"/>
      <w:pPrChange w:id="0" w:author="钟老师" w:date="2026-01-06T18:04:00Z">
        <w:pPr>
          <w:widowControl w:val="0"/>
          <w:ind w:firstLine="420" w:firstLineChars="200"/>
          <w:jc w:val="both"/>
        </w:pPr>
      </w:pPrChange>
    </w:pPr>
    <w:rPr>
      <w:rPrChange w:id="1" w:author="钟老师" w:date="2026-01-06T18:04:00Z">
        <w:rPr>
          <w:rFonts w:eastAsia="宋体"/>
          <w:kern w:val="2"/>
          <w:sz w:val="21"/>
          <w:szCs w:val="24"/>
          <w:lang w:val="en-US" w:eastAsia="zh-CN" w:bidi="ar-SA"/>
        </w:rPr>
      </w:rPrChange>
    </w:r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字符"/>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字符"/>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修订3"/>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91</Pages>
  <Words>56063</Words>
  <Characters>59379</Characters>
  <Lines>469</Lines>
  <Paragraphs>132</Paragraphs>
  <TotalTime>8</TotalTime>
  <ScaleCrop>false</ScaleCrop>
  <LinksUpToDate>false</LinksUpToDate>
  <CharactersWithSpaces>61455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2026-01-20T09:32:01Z</dcterms:modified>
  <dc:title>招标编号：UHO2010-G0029</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70C796D4C4AF4A028A479ADCFEEC6F48_13</vt:lpwstr>
  </property>
  <property fmtid="{D5CDD505-2E9C-101B-9397-08002B2CF9AE}" pid="4" name="KSOTemplateDocerSaveRecord">
    <vt:lpwstr>eyJoZGlkIjoiMzNiN2JjZGQwODQzNTVmMDg4ZGNmNzRhYmJlZDY2YTUiLCJ1c2VySWQiOiI0NjMwNjU1NzcifQ==</vt:lpwstr>
  </property>
</Properties>
</file>